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60C" w:rsidRDefault="004D764C">
      <w:pPr>
        <w:pStyle w:val="Balk1"/>
        <w:ind w:left="2397" w:right="2299"/>
        <w:jc w:val="center"/>
      </w:pPr>
      <w:r>
        <w:t>2021-2022 AKADEMİK YILI BAHAR</w:t>
      </w:r>
      <w:r w:rsidR="00111FED">
        <w:t xml:space="preserve"> DÖNEMİ ERASMUS +</w:t>
      </w:r>
    </w:p>
    <w:p w:rsidR="00B6660C" w:rsidRDefault="00111FED">
      <w:pPr>
        <w:ind w:left="2705" w:right="2606" w:hanging="2"/>
        <w:jc w:val="center"/>
        <w:rPr>
          <w:b/>
          <w:sz w:val="24"/>
        </w:rPr>
      </w:pPr>
      <w:r>
        <w:rPr>
          <w:b/>
          <w:sz w:val="24"/>
        </w:rPr>
        <w:t>KA107 DEĞİŞİM PROGRAMI PERSONEL HAREKETLİLİĞİ İLANI BAŞVURU ŞARTLARI</w:t>
      </w:r>
    </w:p>
    <w:p w:rsidR="00B6660C" w:rsidRDefault="00B6660C">
      <w:pPr>
        <w:pStyle w:val="GvdeMetni"/>
        <w:spacing w:before="9"/>
        <w:ind w:left="0"/>
        <w:jc w:val="left"/>
        <w:rPr>
          <w:b/>
          <w:sz w:val="23"/>
        </w:rPr>
      </w:pPr>
    </w:p>
    <w:p w:rsidR="00B6660C" w:rsidRDefault="00111FED">
      <w:pPr>
        <w:pStyle w:val="ListeParagraf"/>
        <w:numPr>
          <w:ilvl w:val="0"/>
          <w:numId w:val="1"/>
        </w:numPr>
        <w:tabs>
          <w:tab w:val="left" w:pos="356"/>
        </w:tabs>
        <w:spacing w:before="1"/>
        <w:ind w:left="355"/>
        <w:rPr>
          <w:sz w:val="24"/>
        </w:rPr>
      </w:pPr>
      <w:r>
        <w:rPr>
          <w:sz w:val="24"/>
        </w:rPr>
        <w:t>Şehit ve gazi yakınlarına (akademik ve idari) tüm puanlara ek olarak 15 puan ilave</w:t>
      </w:r>
      <w:r>
        <w:rPr>
          <w:spacing w:val="-12"/>
          <w:sz w:val="24"/>
        </w:rPr>
        <w:t xml:space="preserve"> </w:t>
      </w:r>
      <w:r>
        <w:rPr>
          <w:sz w:val="24"/>
        </w:rPr>
        <w:t>edilir.</w:t>
      </w:r>
    </w:p>
    <w:p w:rsidR="00B6660C" w:rsidRDefault="00111FED">
      <w:pPr>
        <w:pStyle w:val="ListeParagraf"/>
        <w:numPr>
          <w:ilvl w:val="0"/>
          <w:numId w:val="1"/>
        </w:numPr>
        <w:tabs>
          <w:tab w:val="left" w:pos="356"/>
        </w:tabs>
        <w:spacing w:before="139"/>
        <w:ind w:left="355"/>
        <w:rPr>
          <w:sz w:val="24"/>
        </w:rPr>
      </w:pPr>
      <w:r>
        <w:rPr>
          <w:sz w:val="24"/>
        </w:rPr>
        <w:t>Engelli personele (akademik ve idari) tüm puanlara ek olarak 10 puan ilave</w:t>
      </w:r>
      <w:r>
        <w:rPr>
          <w:spacing w:val="-10"/>
          <w:sz w:val="24"/>
        </w:rPr>
        <w:t xml:space="preserve"> </w:t>
      </w:r>
      <w:r>
        <w:rPr>
          <w:sz w:val="24"/>
        </w:rPr>
        <w:t>edilir.</w:t>
      </w:r>
    </w:p>
    <w:p w:rsidR="00B6660C" w:rsidRDefault="00111FED">
      <w:pPr>
        <w:pStyle w:val="ListeParagraf"/>
        <w:numPr>
          <w:ilvl w:val="0"/>
          <w:numId w:val="1"/>
        </w:numPr>
        <w:tabs>
          <w:tab w:val="left" w:pos="368"/>
        </w:tabs>
        <w:spacing w:before="137" w:line="360" w:lineRule="auto"/>
        <w:ind w:right="114" w:firstLine="0"/>
        <w:rPr>
          <w:sz w:val="24"/>
        </w:rPr>
      </w:pPr>
      <w:r>
        <w:rPr>
          <w:sz w:val="24"/>
        </w:rPr>
        <w:t>2019 çağrı yılında Türkiye Ulusal Ajansı’na SDÜ tarafından ibraz edilen KA107 projesinin yazımına katkı sunmuş Üniversitemiz personeli aynı zamanda ilgili KA107 ikili anlaşmasının sahibi durumunda olup ek olarak 30 puan</w:t>
      </w:r>
      <w:r>
        <w:rPr>
          <w:spacing w:val="1"/>
          <w:sz w:val="24"/>
        </w:rPr>
        <w:t xml:space="preserve"> </w:t>
      </w:r>
      <w:r>
        <w:rPr>
          <w:sz w:val="24"/>
        </w:rPr>
        <w:t>alır.</w:t>
      </w:r>
    </w:p>
    <w:p w:rsidR="00B6660C" w:rsidRDefault="00111FED">
      <w:pPr>
        <w:pStyle w:val="ListeParagraf"/>
        <w:numPr>
          <w:ilvl w:val="0"/>
          <w:numId w:val="1"/>
        </w:numPr>
        <w:tabs>
          <w:tab w:val="left" w:pos="356"/>
        </w:tabs>
        <w:spacing w:before="201" w:line="360" w:lineRule="auto"/>
        <w:ind w:right="120" w:firstLine="0"/>
        <w:rPr>
          <w:sz w:val="24"/>
        </w:rPr>
      </w:pPr>
      <w:r>
        <w:rPr>
          <w:sz w:val="24"/>
        </w:rPr>
        <w:t>Takvimde belirtilen süre içerisinde “Feragat Bildirimi”nde bulunmayan personele (akademik ve idari) bir dahaki başvurusundan 5 puan düşülür. Feragat dilekçe örneğine https://erasmus.sdu.edu.tr/tr/ adresinden “Personel”- Ders Verme linklerinden</w:t>
      </w:r>
      <w:r>
        <w:rPr>
          <w:spacing w:val="-10"/>
          <w:sz w:val="24"/>
        </w:rPr>
        <w:t xml:space="preserve"> </w:t>
      </w:r>
      <w:r>
        <w:rPr>
          <w:sz w:val="24"/>
        </w:rPr>
        <w:t>ulaşabilirsiniz.</w:t>
      </w:r>
    </w:p>
    <w:p w:rsidR="00B6660C" w:rsidRDefault="00111FED">
      <w:pPr>
        <w:pStyle w:val="ListeParagraf"/>
        <w:numPr>
          <w:ilvl w:val="0"/>
          <w:numId w:val="1"/>
        </w:numPr>
        <w:tabs>
          <w:tab w:val="left" w:pos="423"/>
        </w:tabs>
        <w:spacing w:before="1" w:line="360" w:lineRule="auto"/>
        <w:ind w:right="117" w:firstLine="60"/>
        <w:rPr>
          <w:sz w:val="24"/>
        </w:rPr>
      </w:pPr>
      <w:r>
        <w:rPr>
          <w:sz w:val="24"/>
        </w:rPr>
        <w:t>Vatandaşı olunan ülkede hareketliliğe katılma tüm personel için (akademik ve idari) 5 puan düşülür. - Profesör, Doçent, Doktor Öğretim Üyesi, Öğretim Görevlisi (Ders Veren) kadrolarındaki akademik personel, Ders Verme Hareketliliğine</w:t>
      </w:r>
      <w:r w:rsidR="004D764C">
        <w:rPr>
          <w:sz w:val="24"/>
        </w:rPr>
        <w:t xml:space="preserve"> (Staff Teaching Assignment (STA</w:t>
      </w:r>
      <w:r>
        <w:rPr>
          <w:sz w:val="24"/>
        </w:rPr>
        <w:t>)</w:t>
      </w:r>
      <w:r>
        <w:rPr>
          <w:spacing w:val="-1"/>
          <w:sz w:val="24"/>
        </w:rPr>
        <w:t xml:space="preserve"> </w:t>
      </w:r>
      <w:r>
        <w:rPr>
          <w:sz w:val="24"/>
        </w:rPr>
        <w:t>başvurabilecektir.</w:t>
      </w:r>
    </w:p>
    <w:p w:rsidR="00B6660C" w:rsidRDefault="00111FED">
      <w:pPr>
        <w:pStyle w:val="ListeParagraf"/>
        <w:numPr>
          <w:ilvl w:val="0"/>
          <w:numId w:val="1"/>
        </w:numPr>
        <w:tabs>
          <w:tab w:val="left" w:pos="627"/>
        </w:tabs>
        <w:spacing w:line="360" w:lineRule="auto"/>
        <w:ind w:right="122" w:firstLine="0"/>
        <w:rPr>
          <w:sz w:val="24"/>
        </w:rPr>
      </w:pPr>
      <w:r>
        <w:rPr>
          <w:sz w:val="24"/>
        </w:rPr>
        <w:t>Personel Ders Verme hareketlilikleri, kurumlararası anlaşma kapsamında gerçekleştirilmektedir. İkili Anlaşmamızın olmadığı kurumlara gidilmesi mümkün</w:t>
      </w:r>
      <w:r>
        <w:rPr>
          <w:spacing w:val="-13"/>
          <w:sz w:val="24"/>
        </w:rPr>
        <w:t xml:space="preserve"> </w:t>
      </w:r>
      <w:r>
        <w:rPr>
          <w:sz w:val="24"/>
        </w:rPr>
        <w:t>değildir.</w:t>
      </w:r>
    </w:p>
    <w:p w:rsidR="00B6660C" w:rsidRDefault="00111FED">
      <w:pPr>
        <w:pStyle w:val="ListeParagraf"/>
        <w:numPr>
          <w:ilvl w:val="0"/>
          <w:numId w:val="1"/>
        </w:numPr>
        <w:tabs>
          <w:tab w:val="left" w:pos="519"/>
        </w:tabs>
        <w:spacing w:line="360" w:lineRule="auto"/>
        <w:ind w:right="122" w:firstLine="0"/>
        <w:rPr>
          <w:sz w:val="24"/>
        </w:rPr>
      </w:pPr>
      <w:r>
        <w:rPr>
          <w:sz w:val="24"/>
        </w:rPr>
        <w:t>Sisteme sadece link üzerinden kayıt yapılacaktır. Kayıt linkine ulaşmak için</w:t>
      </w:r>
      <w:r>
        <w:rPr>
          <w:color w:val="0000FF"/>
          <w:sz w:val="24"/>
          <w:u w:val="single" w:color="0000FF"/>
        </w:rPr>
        <w:t xml:space="preserve"> </w:t>
      </w:r>
      <w:hyperlink r:id="rId7">
        <w:r>
          <w:rPr>
            <w:color w:val="0000FF"/>
            <w:sz w:val="24"/>
            <w:u w:val="single" w:color="0000FF"/>
          </w:rPr>
          <w:t>http://193.140.181.179/Account/Login.aspx?pId=2035&amp;ReturnUrl=%2F</w:t>
        </w:r>
        <w:r>
          <w:rPr>
            <w:color w:val="0000FF"/>
            <w:sz w:val="24"/>
          </w:rPr>
          <w:t xml:space="preserve"> </w:t>
        </w:r>
      </w:hyperlink>
      <w:r>
        <w:rPr>
          <w:sz w:val="24"/>
        </w:rPr>
        <w:t>adresine</w:t>
      </w:r>
      <w:r>
        <w:rPr>
          <w:spacing w:val="-5"/>
          <w:sz w:val="24"/>
        </w:rPr>
        <w:t xml:space="preserve"> </w:t>
      </w:r>
      <w:r>
        <w:rPr>
          <w:sz w:val="24"/>
        </w:rPr>
        <w:t>tıklayınız.</w:t>
      </w:r>
    </w:p>
    <w:p w:rsidR="00B6660C" w:rsidRDefault="00111FED">
      <w:pPr>
        <w:pStyle w:val="ListeParagraf"/>
        <w:numPr>
          <w:ilvl w:val="0"/>
          <w:numId w:val="1"/>
        </w:numPr>
        <w:tabs>
          <w:tab w:val="left" w:pos="395"/>
        </w:tabs>
        <w:spacing w:line="360" w:lineRule="auto"/>
        <w:ind w:right="116" w:firstLine="0"/>
        <w:rPr>
          <w:sz w:val="24"/>
        </w:rPr>
      </w:pPr>
      <w:r>
        <w:rPr>
          <w:sz w:val="24"/>
        </w:rPr>
        <w:t xml:space="preserve">Erasmus Ders Verme Hareketliliği seçim sonuçlarına itirazlar takvimde belirtilen tarihler arasında e-posta yoluyla veya şahsen (dilekçe) ile yapılabilecektir. Süresi içinde yapılmayan itirazlar değerlendirmeye alınmayacaktır. İtirazlarınızı Erasmus Ofisi’ne bizzat gelerek </w:t>
      </w:r>
      <w:r>
        <w:rPr>
          <w:spacing w:val="-3"/>
          <w:sz w:val="24"/>
        </w:rPr>
        <w:t xml:space="preserve">ya </w:t>
      </w:r>
      <w:r>
        <w:rPr>
          <w:sz w:val="24"/>
        </w:rPr>
        <w:t>da</w:t>
      </w:r>
      <w:hyperlink r:id="rId8">
        <w:r>
          <w:rPr>
            <w:color w:val="0000FF"/>
            <w:sz w:val="24"/>
            <w:u w:val="single" w:color="0000FF"/>
          </w:rPr>
          <w:t xml:space="preserve"> erasmus@sdu.edu.tr</w:t>
        </w:r>
      </w:hyperlink>
      <w:r>
        <w:rPr>
          <w:color w:val="0000FF"/>
          <w:sz w:val="24"/>
        </w:rPr>
        <w:t xml:space="preserve"> </w:t>
      </w:r>
      <w:r>
        <w:rPr>
          <w:sz w:val="24"/>
        </w:rPr>
        <w:t>e-posta adresi yolu ile internet ortamından</w:t>
      </w:r>
      <w:r>
        <w:rPr>
          <w:spacing w:val="5"/>
          <w:sz w:val="24"/>
        </w:rPr>
        <w:t xml:space="preserve"> </w:t>
      </w:r>
      <w:r>
        <w:rPr>
          <w:sz w:val="24"/>
        </w:rPr>
        <w:t>yapabilirsiniz.</w:t>
      </w:r>
    </w:p>
    <w:p w:rsidR="00B6660C" w:rsidRDefault="00111FED">
      <w:pPr>
        <w:pStyle w:val="GvdeMetni"/>
        <w:spacing w:line="360" w:lineRule="auto"/>
        <w:ind w:right="117"/>
      </w:pPr>
      <w:r>
        <w:t>-Önümüzdeki akademik yılda Erasmus öğrencileri için açılacak ders görevlendirmeleri, Erasmus ofisinin resmi yazısına binaen ilgili bölüm ve anabilim dalları tarafından koordinatörlüğümüze önceden bildirildiği için ders görevlendirmelerine ait bir belge yüklemeye gerek yoktur. Erasmus Ofisinin resmi yazısına cevap verilmemesi, eksik bildirimde bulunulması ve güncellemelerin Erasmus Ofisine bildirilmemesinden ilgili bölüm ve/veya anabilim dalı</w:t>
      </w:r>
      <w:r>
        <w:rPr>
          <w:spacing w:val="-2"/>
        </w:rPr>
        <w:t xml:space="preserve"> </w:t>
      </w:r>
      <w:r>
        <w:t>sorumludur.</w:t>
      </w:r>
    </w:p>
    <w:p w:rsidR="00B6660C" w:rsidRDefault="00111FED">
      <w:pPr>
        <w:pStyle w:val="GvdeMetni"/>
        <w:spacing w:line="360" w:lineRule="auto"/>
        <w:ind w:right="117"/>
      </w:pPr>
      <w:r>
        <w:t>-Erasmus koordinatörlerinin güncel listeleri ilgili bölüm ve anabilim dalları tarafından Erasmus ofisine bildirildiğinden sisteme herhangi bir belge yüklenmesine gerek yoktur. Erasmus Ofisinin resmi yazısına cevap verilmemesi, eksik bildirimde bulunulması ve</w:t>
      </w:r>
    </w:p>
    <w:p w:rsidR="00B6660C" w:rsidRDefault="00B6660C">
      <w:pPr>
        <w:spacing w:line="360" w:lineRule="auto"/>
        <w:sectPr w:rsidR="00B6660C">
          <w:footerReference w:type="default" r:id="rId9"/>
          <w:type w:val="continuous"/>
          <w:pgSz w:w="11910" w:h="16840"/>
          <w:pgMar w:top="1320" w:right="1300" w:bottom="1200" w:left="1200" w:header="708" w:footer="1002" w:gutter="0"/>
          <w:pgNumType w:start="1"/>
          <w:cols w:space="708"/>
        </w:sectPr>
      </w:pPr>
    </w:p>
    <w:p w:rsidR="00B6660C" w:rsidRDefault="00111FED">
      <w:pPr>
        <w:pStyle w:val="GvdeMetni"/>
        <w:spacing w:before="72" w:line="362" w:lineRule="auto"/>
        <w:ind w:right="120"/>
      </w:pPr>
      <w:r>
        <w:lastRenderedPageBreak/>
        <w:t xml:space="preserve">güncellemelerin Erasmus Ofisine </w:t>
      </w:r>
      <w:r w:rsidR="001E7003">
        <w:t>bildirilmemesiyle alakalı her türlü durumda</w:t>
      </w:r>
      <w:r>
        <w:t xml:space="preserve"> bölüm ve/veya anabilim dalı sorumludur.</w:t>
      </w:r>
    </w:p>
    <w:p w:rsidR="00B6660C" w:rsidRDefault="00111FED">
      <w:pPr>
        <w:pStyle w:val="ListeParagraf"/>
        <w:numPr>
          <w:ilvl w:val="0"/>
          <w:numId w:val="1"/>
        </w:numPr>
        <w:tabs>
          <w:tab w:val="left" w:pos="416"/>
        </w:tabs>
        <w:spacing w:line="360" w:lineRule="auto"/>
        <w:ind w:right="119" w:firstLine="0"/>
        <w:rPr>
          <w:sz w:val="24"/>
        </w:rPr>
      </w:pPr>
      <w:r>
        <w:rPr>
          <w:sz w:val="24"/>
        </w:rPr>
        <w:t>Başvuru döneminde ÖSYM tarafından denkliği olan dil belgesinin sisteme yüklenmesi gerekmektedir. Dil belgesinde süre şartı aranmamaktadır. Sisteme dil belgesi yüklemeyen öğretim üyelerinin bulundukları kadrolara atamada gerekli asgari dil puanı sistem tarafından otomatik eklenir. (Dr. Öğr. Üyesi: 60, Doç. Dr. 65, Prof. Dr.</w:t>
      </w:r>
      <w:r>
        <w:rPr>
          <w:spacing w:val="-2"/>
          <w:sz w:val="24"/>
        </w:rPr>
        <w:t xml:space="preserve"> </w:t>
      </w:r>
      <w:r>
        <w:rPr>
          <w:sz w:val="24"/>
        </w:rPr>
        <w:t>65)</w:t>
      </w:r>
    </w:p>
    <w:p w:rsidR="00B6660C" w:rsidRDefault="00111FED">
      <w:pPr>
        <w:pStyle w:val="GvdeMetni"/>
        <w:spacing w:line="360" w:lineRule="auto"/>
        <w:ind w:right="117"/>
      </w:pPr>
      <w:r>
        <w:t>-Erasmus Personel Hareketliliğinden faydalanmaya hak kazanan tü</w:t>
      </w:r>
      <w:r w:rsidR="004D764C">
        <w:t>m personele 7 gün için günlük 18</w:t>
      </w:r>
      <w:r>
        <w:t>0€ hibe ödemesi yapılacaktır. Ayrıca gidilen üniversitenin uzaklığı Avrupa Birliği tarafından belirlenen mesafe hesaplayıcı üzerinden ölçülerek hareketlilikten yararlanmaya hak kazananlara Tablo 1’e göre ulaşım masrafları için tek seferlik ödeme yapılacaktır.</w:t>
      </w:r>
    </w:p>
    <w:p w:rsidR="00B6660C" w:rsidRDefault="00B6660C">
      <w:pPr>
        <w:pStyle w:val="GvdeMetni"/>
        <w:ind w:left="0"/>
        <w:jc w:val="left"/>
        <w:rPr>
          <w:sz w:val="26"/>
        </w:rPr>
      </w:pPr>
    </w:p>
    <w:p w:rsidR="00B6660C" w:rsidRDefault="00111FED">
      <w:pPr>
        <w:pStyle w:val="Balk1"/>
        <w:spacing w:before="220"/>
        <w:jc w:val="both"/>
      </w:pPr>
      <w:r>
        <w:t>Tablo 1: Mesafeye Göre Ulaşım Ödeme Tablosu</w:t>
      </w:r>
    </w:p>
    <w:p w:rsidR="00B6660C" w:rsidRDefault="00B6660C">
      <w:pPr>
        <w:pStyle w:val="GvdeMetni"/>
        <w:spacing w:before="7"/>
        <w:ind w:left="0"/>
        <w:jc w:val="left"/>
        <w:rPr>
          <w:b/>
          <w:sz w:val="22"/>
        </w:rPr>
      </w:pPr>
    </w:p>
    <w:tbl>
      <w:tblPr>
        <w:tblStyle w:val="TableNormal"/>
        <w:tblW w:w="0" w:type="auto"/>
        <w:tblInd w:w="185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2909"/>
        <w:gridCol w:w="2912"/>
      </w:tblGrid>
      <w:tr w:rsidR="00B6660C">
        <w:trPr>
          <w:trHeight w:val="679"/>
        </w:trPr>
        <w:tc>
          <w:tcPr>
            <w:tcW w:w="2909" w:type="dxa"/>
            <w:tcBorders>
              <w:top w:val="nil"/>
              <w:bottom w:val="single" w:sz="24" w:space="0" w:color="FFFFFF"/>
            </w:tcBorders>
            <w:shd w:val="clear" w:color="auto" w:fill="4F81BC"/>
          </w:tcPr>
          <w:p w:rsidR="00B6660C" w:rsidRDefault="00111FED">
            <w:pPr>
              <w:pStyle w:val="TableParagraph"/>
              <w:spacing w:before="73"/>
              <w:ind w:left="864"/>
              <w:rPr>
                <w:b/>
                <w:sz w:val="24"/>
              </w:rPr>
            </w:pPr>
            <w:r>
              <w:rPr>
                <w:b/>
                <w:sz w:val="24"/>
              </w:rPr>
              <w:t>Mesafe (km)</w:t>
            </w:r>
          </w:p>
        </w:tc>
        <w:tc>
          <w:tcPr>
            <w:tcW w:w="2912" w:type="dxa"/>
            <w:tcBorders>
              <w:top w:val="nil"/>
              <w:bottom w:val="single" w:sz="24" w:space="0" w:color="FFFFFF"/>
            </w:tcBorders>
            <w:shd w:val="clear" w:color="auto" w:fill="4F81BC"/>
          </w:tcPr>
          <w:p w:rsidR="00B6660C" w:rsidRDefault="00111FED">
            <w:pPr>
              <w:pStyle w:val="TableParagraph"/>
              <w:spacing w:before="73"/>
              <w:ind w:left="864"/>
              <w:rPr>
                <w:b/>
                <w:sz w:val="24"/>
              </w:rPr>
            </w:pPr>
            <w:r>
              <w:rPr>
                <w:b/>
                <w:sz w:val="24"/>
              </w:rPr>
              <w:t>Katkı (Avro)</w:t>
            </w:r>
          </w:p>
        </w:tc>
      </w:tr>
      <w:tr w:rsidR="00B6660C">
        <w:trPr>
          <w:trHeight w:val="505"/>
        </w:trPr>
        <w:tc>
          <w:tcPr>
            <w:tcW w:w="2909" w:type="dxa"/>
            <w:tcBorders>
              <w:top w:val="single" w:sz="24" w:space="0" w:color="FFFFFF"/>
            </w:tcBorders>
            <w:shd w:val="clear" w:color="auto" w:fill="D0D7E8"/>
          </w:tcPr>
          <w:p w:rsidR="00B6660C" w:rsidRDefault="00111FED">
            <w:pPr>
              <w:pStyle w:val="TableParagraph"/>
              <w:spacing w:before="72"/>
              <w:ind w:left="864"/>
              <w:rPr>
                <w:b/>
                <w:sz w:val="24"/>
              </w:rPr>
            </w:pPr>
            <w:r>
              <w:rPr>
                <w:b/>
                <w:sz w:val="24"/>
              </w:rPr>
              <w:t>20</w:t>
            </w:r>
            <w:r>
              <w:rPr>
                <w:rFonts w:ascii="Trebuchet MS" w:hAnsi="Trebuchet MS"/>
                <w:b/>
                <w:sz w:val="24"/>
              </w:rPr>
              <w:t>‐</w:t>
            </w:r>
            <w:r>
              <w:rPr>
                <w:b/>
                <w:sz w:val="24"/>
              </w:rPr>
              <w:t>99</w:t>
            </w:r>
          </w:p>
        </w:tc>
        <w:tc>
          <w:tcPr>
            <w:tcW w:w="2912" w:type="dxa"/>
            <w:tcBorders>
              <w:top w:val="single" w:sz="24" w:space="0" w:color="FFFFFF"/>
            </w:tcBorders>
            <w:shd w:val="clear" w:color="auto" w:fill="D0D7E8"/>
          </w:tcPr>
          <w:p w:rsidR="00B6660C" w:rsidRDefault="00111FED">
            <w:pPr>
              <w:pStyle w:val="TableParagraph"/>
              <w:spacing w:before="71"/>
              <w:ind w:left="864"/>
              <w:rPr>
                <w:b/>
                <w:sz w:val="24"/>
              </w:rPr>
            </w:pPr>
            <w:r>
              <w:rPr>
                <w:b/>
                <w:sz w:val="24"/>
              </w:rPr>
              <w:t>20 €</w:t>
            </w:r>
          </w:p>
        </w:tc>
      </w:tr>
      <w:tr w:rsidR="00B6660C">
        <w:trPr>
          <w:trHeight w:val="467"/>
        </w:trPr>
        <w:tc>
          <w:tcPr>
            <w:tcW w:w="2909" w:type="dxa"/>
            <w:shd w:val="clear" w:color="auto" w:fill="E9ECF4"/>
          </w:tcPr>
          <w:p w:rsidR="00B6660C" w:rsidRDefault="00111FED">
            <w:pPr>
              <w:pStyle w:val="TableParagraph"/>
              <w:spacing w:before="72"/>
              <w:ind w:left="864"/>
              <w:rPr>
                <w:b/>
                <w:sz w:val="24"/>
              </w:rPr>
            </w:pPr>
            <w:r>
              <w:rPr>
                <w:b/>
                <w:sz w:val="24"/>
              </w:rPr>
              <w:t>100</w:t>
            </w:r>
            <w:r>
              <w:rPr>
                <w:rFonts w:ascii="Trebuchet MS" w:hAnsi="Trebuchet MS"/>
                <w:b/>
                <w:sz w:val="24"/>
              </w:rPr>
              <w:t>‐</w:t>
            </w:r>
            <w:r>
              <w:rPr>
                <w:b/>
                <w:sz w:val="24"/>
              </w:rPr>
              <w:t>499</w:t>
            </w:r>
          </w:p>
        </w:tc>
        <w:tc>
          <w:tcPr>
            <w:tcW w:w="2912" w:type="dxa"/>
            <w:shd w:val="clear" w:color="auto" w:fill="E9ECF4"/>
          </w:tcPr>
          <w:p w:rsidR="00B6660C" w:rsidRDefault="00111FED">
            <w:pPr>
              <w:pStyle w:val="TableParagraph"/>
              <w:spacing w:before="70"/>
              <w:ind w:left="864"/>
              <w:rPr>
                <w:b/>
                <w:sz w:val="24"/>
              </w:rPr>
            </w:pPr>
            <w:r>
              <w:rPr>
                <w:b/>
                <w:sz w:val="24"/>
              </w:rPr>
              <w:t>180 €</w:t>
            </w:r>
          </w:p>
        </w:tc>
      </w:tr>
      <w:tr w:rsidR="00B6660C">
        <w:trPr>
          <w:trHeight w:val="467"/>
        </w:trPr>
        <w:tc>
          <w:tcPr>
            <w:tcW w:w="2909" w:type="dxa"/>
            <w:shd w:val="clear" w:color="auto" w:fill="D0D7E8"/>
          </w:tcPr>
          <w:p w:rsidR="00B6660C" w:rsidRDefault="00111FED">
            <w:pPr>
              <w:pStyle w:val="TableParagraph"/>
              <w:spacing w:before="74"/>
              <w:ind w:left="864"/>
              <w:rPr>
                <w:b/>
                <w:sz w:val="24"/>
              </w:rPr>
            </w:pPr>
            <w:r>
              <w:rPr>
                <w:b/>
                <w:sz w:val="24"/>
              </w:rPr>
              <w:t>500</w:t>
            </w:r>
            <w:r>
              <w:rPr>
                <w:rFonts w:ascii="Trebuchet MS" w:hAnsi="Trebuchet MS"/>
                <w:b/>
                <w:sz w:val="24"/>
              </w:rPr>
              <w:t>‐</w:t>
            </w:r>
            <w:r>
              <w:rPr>
                <w:b/>
                <w:sz w:val="24"/>
              </w:rPr>
              <w:t>1999</w:t>
            </w:r>
          </w:p>
        </w:tc>
        <w:tc>
          <w:tcPr>
            <w:tcW w:w="2912" w:type="dxa"/>
            <w:shd w:val="clear" w:color="auto" w:fill="D0D7E8"/>
          </w:tcPr>
          <w:p w:rsidR="00B6660C" w:rsidRDefault="00111FED">
            <w:pPr>
              <w:pStyle w:val="TableParagraph"/>
              <w:spacing w:before="73"/>
              <w:ind w:left="864"/>
              <w:rPr>
                <w:b/>
                <w:sz w:val="24"/>
              </w:rPr>
            </w:pPr>
            <w:r>
              <w:rPr>
                <w:b/>
                <w:sz w:val="24"/>
              </w:rPr>
              <w:t>275 €</w:t>
            </w:r>
          </w:p>
        </w:tc>
      </w:tr>
      <w:tr w:rsidR="00B6660C">
        <w:trPr>
          <w:trHeight w:val="469"/>
        </w:trPr>
        <w:tc>
          <w:tcPr>
            <w:tcW w:w="2909" w:type="dxa"/>
            <w:shd w:val="clear" w:color="auto" w:fill="E9ECF4"/>
          </w:tcPr>
          <w:p w:rsidR="00B6660C" w:rsidRDefault="00111FED">
            <w:pPr>
              <w:pStyle w:val="TableParagraph"/>
              <w:spacing w:before="74"/>
              <w:ind w:left="864"/>
              <w:rPr>
                <w:b/>
                <w:sz w:val="24"/>
              </w:rPr>
            </w:pPr>
            <w:r>
              <w:rPr>
                <w:b/>
                <w:sz w:val="24"/>
              </w:rPr>
              <w:t>2000</w:t>
            </w:r>
            <w:r>
              <w:rPr>
                <w:rFonts w:ascii="Trebuchet MS" w:hAnsi="Trebuchet MS"/>
                <w:b/>
                <w:sz w:val="24"/>
              </w:rPr>
              <w:t>‐</w:t>
            </w:r>
            <w:r>
              <w:rPr>
                <w:b/>
                <w:sz w:val="24"/>
              </w:rPr>
              <w:t>2999</w:t>
            </w:r>
          </w:p>
        </w:tc>
        <w:tc>
          <w:tcPr>
            <w:tcW w:w="2912" w:type="dxa"/>
            <w:shd w:val="clear" w:color="auto" w:fill="E9ECF4"/>
          </w:tcPr>
          <w:p w:rsidR="00B6660C" w:rsidRDefault="00111FED">
            <w:pPr>
              <w:pStyle w:val="TableParagraph"/>
              <w:spacing w:before="73"/>
              <w:ind w:left="864"/>
              <w:rPr>
                <w:b/>
                <w:sz w:val="24"/>
              </w:rPr>
            </w:pPr>
            <w:r>
              <w:rPr>
                <w:b/>
                <w:sz w:val="24"/>
              </w:rPr>
              <w:t>360 €</w:t>
            </w:r>
          </w:p>
        </w:tc>
      </w:tr>
      <w:tr w:rsidR="00B6660C">
        <w:trPr>
          <w:trHeight w:val="467"/>
        </w:trPr>
        <w:tc>
          <w:tcPr>
            <w:tcW w:w="2909" w:type="dxa"/>
            <w:shd w:val="clear" w:color="auto" w:fill="D0D7E8"/>
          </w:tcPr>
          <w:p w:rsidR="00B6660C" w:rsidRDefault="00111FED">
            <w:pPr>
              <w:pStyle w:val="TableParagraph"/>
              <w:spacing w:before="72"/>
              <w:ind w:left="864"/>
              <w:rPr>
                <w:b/>
                <w:sz w:val="24"/>
              </w:rPr>
            </w:pPr>
            <w:r>
              <w:rPr>
                <w:b/>
                <w:sz w:val="24"/>
              </w:rPr>
              <w:t>3000</w:t>
            </w:r>
            <w:r>
              <w:rPr>
                <w:rFonts w:ascii="Trebuchet MS" w:hAnsi="Trebuchet MS"/>
                <w:b/>
                <w:sz w:val="24"/>
              </w:rPr>
              <w:t>‐</w:t>
            </w:r>
            <w:r>
              <w:rPr>
                <w:b/>
                <w:sz w:val="24"/>
              </w:rPr>
              <w:t>3999</w:t>
            </w:r>
          </w:p>
        </w:tc>
        <w:tc>
          <w:tcPr>
            <w:tcW w:w="2912" w:type="dxa"/>
            <w:shd w:val="clear" w:color="auto" w:fill="D0D7E8"/>
          </w:tcPr>
          <w:p w:rsidR="00B6660C" w:rsidRDefault="00111FED">
            <w:pPr>
              <w:pStyle w:val="TableParagraph"/>
              <w:spacing w:before="70"/>
              <w:ind w:left="864"/>
              <w:rPr>
                <w:b/>
                <w:sz w:val="24"/>
              </w:rPr>
            </w:pPr>
            <w:r>
              <w:rPr>
                <w:b/>
                <w:sz w:val="24"/>
              </w:rPr>
              <w:t>530 €</w:t>
            </w:r>
          </w:p>
        </w:tc>
      </w:tr>
      <w:tr w:rsidR="00B6660C">
        <w:trPr>
          <w:trHeight w:val="467"/>
        </w:trPr>
        <w:tc>
          <w:tcPr>
            <w:tcW w:w="2909" w:type="dxa"/>
            <w:shd w:val="clear" w:color="auto" w:fill="E9ECF4"/>
          </w:tcPr>
          <w:p w:rsidR="00B6660C" w:rsidRDefault="00111FED">
            <w:pPr>
              <w:pStyle w:val="TableParagraph"/>
              <w:spacing w:before="72"/>
              <w:ind w:left="864"/>
              <w:rPr>
                <w:b/>
                <w:sz w:val="24"/>
              </w:rPr>
            </w:pPr>
            <w:r>
              <w:rPr>
                <w:b/>
                <w:sz w:val="24"/>
              </w:rPr>
              <w:t>4000</w:t>
            </w:r>
            <w:r>
              <w:rPr>
                <w:rFonts w:ascii="Trebuchet MS" w:hAnsi="Trebuchet MS"/>
                <w:b/>
                <w:sz w:val="24"/>
              </w:rPr>
              <w:t>‐</w:t>
            </w:r>
            <w:r>
              <w:rPr>
                <w:b/>
                <w:sz w:val="24"/>
              </w:rPr>
              <w:t>7999</w:t>
            </w:r>
          </w:p>
        </w:tc>
        <w:tc>
          <w:tcPr>
            <w:tcW w:w="2912" w:type="dxa"/>
            <w:shd w:val="clear" w:color="auto" w:fill="E9ECF4"/>
          </w:tcPr>
          <w:p w:rsidR="00B6660C" w:rsidRDefault="00111FED">
            <w:pPr>
              <w:pStyle w:val="TableParagraph"/>
              <w:spacing w:before="70"/>
              <w:ind w:left="864"/>
              <w:rPr>
                <w:b/>
                <w:sz w:val="24"/>
              </w:rPr>
            </w:pPr>
            <w:r>
              <w:rPr>
                <w:b/>
                <w:sz w:val="24"/>
              </w:rPr>
              <w:t>820 €</w:t>
            </w:r>
          </w:p>
        </w:tc>
      </w:tr>
      <w:tr w:rsidR="00B6660C">
        <w:trPr>
          <w:trHeight w:val="462"/>
        </w:trPr>
        <w:tc>
          <w:tcPr>
            <w:tcW w:w="2909" w:type="dxa"/>
            <w:tcBorders>
              <w:bottom w:val="nil"/>
            </w:tcBorders>
            <w:shd w:val="clear" w:color="auto" w:fill="D0D7E8"/>
          </w:tcPr>
          <w:p w:rsidR="00B6660C" w:rsidRDefault="00111FED">
            <w:pPr>
              <w:pStyle w:val="TableParagraph"/>
              <w:spacing w:before="70"/>
              <w:ind w:left="864"/>
              <w:rPr>
                <w:b/>
                <w:sz w:val="24"/>
              </w:rPr>
            </w:pPr>
            <w:r>
              <w:rPr>
                <w:b/>
                <w:sz w:val="24"/>
              </w:rPr>
              <w:t>8000+</w:t>
            </w:r>
          </w:p>
        </w:tc>
        <w:tc>
          <w:tcPr>
            <w:tcW w:w="2912" w:type="dxa"/>
            <w:tcBorders>
              <w:bottom w:val="nil"/>
            </w:tcBorders>
            <w:shd w:val="clear" w:color="auto" w:fill="D0D7E8"/>
          </w:tcPr>
          <w:p w:rsidR="00B6660C" w:rsidRDefault="00111FED">
            <w:pPr>
              <w:pStyle w:val="TableParagraph"/>
              <w:spacing w:before="70"/>
              <w:ind w:left="864"/>
              <w:rPr>
                <w:b/>
                <w:sz w:val="24"/>
              </w:rPr>
            </w:pPr>
            <w:r>
              <w:rPr>
                <w:b/>
                <w:sz w:val="24"/>
              </w:rPr>
              <w:t>1.500 €</w:t>
            </w:r>
          </w:p>
        </w:tc>
      </w:tr>
    </w:tbl>
    <w:p w:rsidR="00B6660C" w:rsidRDefault="00B6660C">
      <w:pPr>
        <w:pStyle w:val="GvdeMetni"/>
        <w:ind w:left="0"/>
        <w:jc w:val="left"/>
        <w:rPr>
          <w:b/>
          <w:sz w:val="26"/>
        </w:rPr>
      </w:pPr>
    </w:p>
    <w:p w:rsidR="00B6660C" w:rsidRDefault="00111FED">
      <w:pPr>
        <w:spacing w:before="230" w:line="278" w:lineRule="auto"/>
        <w:ind w:left="216" w:right="276"/>
        <w:jc w:val="both"/>
        <w:rPr>
          <w:sz w:val="24"/>
        </w:rPr>
      </w:pPr>
      <w:r>
        <w:rPr>
          <w:b/>
          <w:sz w:val="24"/>
        </w:rPr>
        <w:t xml:space="preserve">Mesafe Hesaplama Aracı: </w:t>
      </w:r>
      <w:hyperlink r:id="rId10" w:anchor="tab-1-4">
        <w:r>
          <w:rPr>
            <w:color w:val="0000FF"/>
            <w:sz w:val="24"/>
            <w:u w:val="single" w:color="0000FF"/>
          </w:rPr>
          <w:t>http://ec.europa.eu/programmes/erasmus-plus/resources_en#tab-</w:t>
        </w:r>
      </w:hyperlink>
      <w:r>
        <w:rPr>
          <w:color w:val="0000FF"/>
          <w:sz w:val="24"/>
        </w:rPr>
        <w:t xml:space="preserve"> </w:t>
      </w:r>
      <w:hyperlink r:id="rId11" w:anchor="tab-1-4">
        <w:r>
          <w:rPr>
            <w:color w:val="0000FF"/>
            <w:sz w:val="24"/>
            <w:u w:val="single" w:color="0000FF"/>
          </w:rPr>
          <w:t>1-4</w:t>
        </w:r>
      </w:hyperlink>
    </w:p>
    <w:p w:rsidR="00B6660C" w:rsidRPr="001E7003" w:rsidRDefault="00111FED">
      <w:pPr>
        <w:pStyle w:val="ListeParagraf"/>
        <w:numPr>
          <w:ilvl w:val="0"/>
          <w:numId w:val="1"/>
        </w:numPr>
        <w:tabs>
          <w:tab w:val="left" w:pos="395"/>
        </w:tabs>
        <w:spacing w:before="196" w:line="360" w:lineRule="auto"/>
        <w:ind w:right="120" w:firstLine="0"/>
        <w:rPr>
          <w:sz w:val="24"/>
        </w:rPr>
      </w:pPr>
      <w:r w:rsidRPr="001E7003">
        <w:rPr>
          <w:sz w:val="24"/>
        </w:rPr>
        <w:t>2020-2021 akademik yılında Üniversitemiz bünyesinde ilk defa KA107 kapsamında ders verme hareketliliği gerçekleştirileceği için henüz geçmiş faydalanma bilgisi oluşmadığından puan kesintisi uy</w:t>
      </w:r>
      <w:bookmarkStart w:id="0" w:name="_GoBack"/>
      <w:bookmarkEnd w:id="0"/>
      <w:r w:rsidRPr="001E7003">
        <w:rPr>
          <w:sz w:val="24"/>
        </w:rPr>
        <w:t>gulanmayacaktır.</w:t>
      </w:r>
    </w:p>
    <w:p w:rsidR="00B6660C" w:rsidRDefault="00111FED">
      <w:pPr>
        <w:pStyle w:val="GvdeMetni"/>
        <w:spacing w:before="200" w:line="360" w:lineRule="auto"/>
        <w:ind w:right="117"/>
      </w:pPr>
      <w:r>
        <w:t>-Ders verme hareketliliğinden faydalanmak isteyen akademik personele yönelik değerlendirme 100 puan üzerinden yapılacaktır. Değerlendirmede esas alınacak ölçütler, puanlar ve bu puanların toplam puan içindeki yüzdelik oranları aşağıdaki gibidir:</w:t>
      </w:r>
    </w:p>
    <w:p w:rsidR="00B6660C" w:rsidRDefault="00B6660C">
      <w:pPr>
        <w:spacing w:line="360" w:lineRule="auto"/>
        <w:sectPr w:rsidR="00B6660C">
          <w:pgSz w:w="11910" w:h="16840"/>
          <w:pgMar w:top="1320" w:right="1300" w:bottom="1200" w:left="1200" w:header="0" w:footer="1002" w:gutter="0"/>
          <w:cols w:space="708"/>
        </w:sectPr>
      </w:pPr>
    </w:p>
    <w:p w:rsidR="00B6660C" w:rsidRDefault="00111FED">
      <w:pPr>
        <w:pStyle w:val="Balk1"/>
        <w:ind w:left="2528" w:right="672" w:hanging="1038"/>
      </w:pPr>
      <w:r>
        <w:lastRenderedPageBreak/>
        <w:t>PERSONEL DERS VERME HAREKETLİLİĞİ DEĞERLENDİRME ÖLÇÜTLERİ VE AĞIRLIKLI PUANLAR</w:t>
      </w:r>
    </w:p>
    <w:p w:rsidR="00B6660C" w:rsidRDefault="00B6660C">
      <w:pPr>
        <w:pStyle w:val="GvdeMetni"/>
        <w:spacing w:before="4"/>
        <w:ind w:left="0"/>
        <w:jc w:val="left"/>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2785"/>
        <w:gridCol w:w="2451"/>
        <w:gridCol w:w="2007"/>
      </w:tblGrid>
      <w:tr w:rsidR="00B6660C">
        <w:trPr>
          <w:trHeight w:val="1382"/>
        </w:trPr>
        <w:tc>
          <w:tcPr>
            <w:tcW w:w="456" w:type="dxa"/>
          </w:tcPr>
          <w:p w:rsidR="00B6660C" w:rsidRDefault="00B6660C">
            <w:pPr>
              <w:pStyle w:val="TableParagraph"/>
              <w:rPr>
                <w:sz w:val="24"/>
              </w:rPr>
            </w:pPr>
          </w:p>
        </w:tc>
        <w:tc>
          <w:tcPr>
            <w:tcW w:w="2785" w:type="dxa"/>
          </w:tcPr>
          <w:p w:rsidR="00B6660C" w:rsidRDefault="00B6660C">
            <w:pPr>
              <w:pStyle w:val="TableParagraph"/>
              <w:spacing w:before="10"/>
              <w:rPr>
                <w:b/>
                <w:sz w:val="23"/>
              </w:rPr>
            </w:pPr>
          </w:p>
          <w:p w:rsidR="00B6660C" w:rsidRDefault="00111FED">
            <w:pPr>
              <w:pStyle w:val="TableParagraph"/>
              <w:ind w:left="107"/>
              <w:rPr>
                <w:b/>
                <w:sz w:val="24"/>
              </w:rPr>
            </w:pPr>
            <w:r>
              <w:rPr>
                <w:b/>
                <w:sz w:val="24"/>
              </w:rPr>
              <w:t>Ölçüt</w:t>
            </w:r>
          </w:p>
        </w:tc>
        <w:tc>
          <w:tcPr>
            <w:tcW w:w="2451" w:type="dxa"/>
          </w:tcPr>
          <w:p w:rsidR="00B6660C" w:rsidRDefault="00B6660C">
            <w:pPr>
              <w:pStyle w:val="TableParagraph"/>
              <w:spacing w:before="10"/>
              <w:rPr>
                <w:b/>
                <w:sz w:val="23"/>
              </w:rPr>
            </w:pPr>
          </w:p>
          <w:p w:rsidR="00B6660C" w:rsidRDefault="00111FED">
            <w:pPr>
              <w:pStyle w:val="TableParagraph"/>
              <w:ind w:left="107"/>
              <w:rPr>
                <w:b/>
                <w:sz w:val="24"/>
              </w:rPr>
            </w:pPr>
            <w:r>
              <w:rPr>
                <w:b/>
                <w:sz w:val="24"/>
              </w:rPr>
              <w:t>Puan</w:t>
            </w:r>
          </w:p>
        </w:tc>
        <w:tc>
          <w:tcPr>
            <w:tcW w:w="2007" w:type="dxa"/>
          </w:tcPr>
          <w:p w:rsidR="00B6660C" w:rsidRDefault="00B6660C">
            <w:pPr>
              <w:pStyle w:val="TableParagraph"/>
              <w:spacing w:before="10"/>
              <w:rPr>
                <w:b/>
                <w:sz w:val="23"/>
              </w:rPr>
            </w:pPr>
          </w:p>
          <w:p w:rsidR="00B6660C" w:rsidRDefault="00111FED">
            <w:pPr>
              <w:pStyle w:val="TableParagraph"/>
              <w:tabs>
                <w:tab w:val="left" w:pos="1366"/>
              </w:tabs>
              <w:ind w:left="109" w:right="98"/>
              <w:rPr>
                <w:b/>
                <w:sz w:val="24"/>
              </w:rPr>
            </w:pPr>
            <w:r>
              <w:rPr>
                <w:b/>
                <w:sz w:val="24"/>
              </w:rPr>
              <w:t>Toplam</w:t>
            </w:r>
            <w:r>
              <w:rPr>
                <w:b/>
                <w:sz w:val="24"/>
              </w:rPr>
              <w:tab/>
            </w:r>
            <w:r>
              <w:rPr>
                <w:b/>
                <w:spacing w:val="-6"/>
                <w:sz w:val="24"/>
              </w:rPr>
              <w:t xml:space="preserve">Puan </w:t>
            </w:r>
            <w:r>
              <w:rPr>
                <w:b/>
                <w:sz w:val="24"/>
              </w:rPr>
              <w:t>İçindeki Yüzdelik</w:t>
            </w:r>
            <w:r>
              <w:rPr>
                <w:b/>
                <w:spacing w:val="-1"/>
                <w:sz w:val="24"/>
              </w:rPr>
              <w:t xml:space="preserve"> </w:t>
            </w:r>
            <w:r>
              <w:rPr>
                <w:b/>
                <w:sz w:val="24"/>
              </w:rPr>
              <w:t>Oran</w:t>
            </w:r>
          </w:p>
        </w:tc>
      </w:tr>
      <w:tr w:rsidR="00B6660C">
        <w:trPr>
          <w:trHeight w:val="1379"/>
        </w:trPr>
        <w:tc>
          <w:tcPr>
            <w:tcW w:w="456" w:type="dxa"/>
          </w:tcPr>
          <w:p w:rsidR="00B6660C" w:rsidRDefault="00B6660C">
            <w:pPr>
              <w:pStyle w:val="TableParagraph"/>
              <w:rPr>
                <w:b/>
                <w:sz w:val="26"/>
              </w:rPr>
            </w:pPr>
          </w:p>
          <w:p w:rsidR="00B6660C" w:rsidRDefault="00B6660C">
            <w:pPr>
              <w:pStyle w:val="TableParagraph"/>
              <w:spacing w:before="3"/>
              <w:rPr>
                <w:b/>
                <w:sz w:val="21"/>
              </w:rPr>
            </w:pPr>
          </w:p>
          <w:p w:rsidR="00B6660C" w:rsidRDefault="00111FED">
            <w:pPr>
              <w:pStyle w:val="TableParagraph"/>
              <w:ind w:left="167"/>
              <w:rPr>
                <w:sz w:val="24"/>
              </w:rPr>
            </w:pPr>
            <w:r>
              <w:rPr>
                <w:sz w:val="24"/>
              </w:rPr>
              <w:t>1</w:t>
            </w:r>
          </w:p>
        </w:tc>
        <w:tc>
          <w:tcPr>
            <w:tcW w:w="2785" w:type="dxa"/>
          </w:tcPr>
          <w:p w:rsidR="00B6660C" w:rsidRDefault="00B6660C">
            <w:pPr>
              <w:pStyle w:val="TableParagraph"/>
              <w:spacing w:before="3"/>
              <w:rPr>
                <w:b/>
                <w:sz w:val="23"/>
              </w:rPr>
            </w:pPr>
          </w:p>
          <w:p w:rsidR="00B6660C" w:rsidRDefault="00111FED">
            <w:pPr>
              <w:pStyle w:val="TableParagraph"/>
              <w:ind w:left="107" w:right="921"/>
              <w:rPr>
                <w:sz w:val="24"/>
              </w:rPr>
            </w:pPr>
            <w:r>
              <w:rPr>
                <w:sz w:val="24"/>
              </w:rPr>
              <w:t>Ders verme hareketliliğinden faydalanma sayısı</w:t>
            </w:r>
          </w:p>
        </w:tc>
        <w:tc>
          <w:tcPr>
            <w:tcW w:w="2451" w:type="dxa"/>
          </w:tcPr>
          <w:p w:rsidR="00B6660C" w:rsidRDefault="00B6660C">
            <w:pPr>
              <w:pStyle w:val="TableParagraph"/>
              <w:spacing w:before="3"/>
              <w:rPr>
                <w:b/>
                <w:sz w:val="23"/>
              </w:rPr>
            </w:pPr>
          </w:p>
          <w:p w:rsidR="00B6660C" w:rsidRDefault="00111FED">
            <w:pPr>
              <w:pStyle w:val="TableParagraph"/>
              <w:ind w:left="107"/>
              <w:rPr>
                <w:sz w:val="24"/>
              </w:rPr>
            </w:pPr>
            <w:r>
              <w:rPr>
                <w:sz w:val="24"/>
              </w:rPr>
              <w:t>50 puan</w:t>
            </w:r>
          </w:p>
        </w:tc>
        <w:tc>
          <w:tcPr>
            <w:tcW w:w="2007" w:type="dxa"/>
          </w:tcPr>
          <w:p w:rsidR="00B6660C" w:rsidRDefault="00B6660C">
            <w:pPr>
              <w:pStyle w:val="TableParagraph"/>
              <w:spacing w:before="3"/>
              <w:rPr>
                <w:b/>
                <w:sz w:val="23"/>
              </w:rPr>
            </w:pPr>
          </w:p>
          <w:p w:rsidR="00B6660C" w:rsidRDefault="00111FED">
            <w:pPr>
              <w:pStyle w:val="TableParagraph"/>
              <w:ind w:left="109"/>
              <w:rPr>
                <w:sz w:val="24"/>
              </w:rPr>
            </w:pPr>
            <w:r>
              <w:rPr>
                <w:sz w:val="24"/>
              </w:rPr>
              <w:t>%50</w:t>
            </w:r>
          </w:p>
        </w:tc>
      </w:tr>
      <w:tr w:rsidR="00B6660C">
        <w:trPr>
          <w:trHeight w:val="828"/>
        </w:trPr>
        <w:tc>
          <w:tcPr>
            <w:tcW w:w="456" w:type="dxa"/>
          </w:tcPr>
          <w:p w:rsidR="00B6660C" w:rsidRDefault="00B6660C">
            <w:pPr>
              <w:pStyle w:val="TableParagraph"/>
              <w:spacing w:before="3"/>
              <w:rPr>
                <w:b/>
                <w:sz w:val="23"/>
              </w:rPr>
            </w:pPr>
          </w:p>
          <w:p w:rsidR="00B6660C" w:rsidRDefault="00111FED">
            <w:pPr>
              <w:pStyle w:val="TableParagraph"/>
              <w:spacing w:before="1"/>
              <w:ind w:left="167"/>
              <w:rPr>
                <w:sz w:val="24"/>
              </w:rPr>
            </w:pPr>
            <w:r>
              <w:rPr>
                <w:sz w:val="24"/>
              </w:rPr>
              <w:t>2</w:t>
            </w:r>
          </w:p>
        </w:tc>
        <w:tc>
          <w:tcPr>
            <w:tcW w:w="2785" w:type="dxa"/>
          </w:tcPr>
          <w:p w:rsidR="00B6660C" w:rsidRDefault="00B6660C">
            <w:pPr>
              <w:pStyle w:val="TableParagraph"/>
              <w:spacing w:before="3"/>
              <w:rPr>
                <w:b/>
                <w:sz w:val="23"/>
              </w:rPr>
            </w:pPr>
          </w:p>
          <w:p w:rsidR="00B6660C" w:rsidRDefault="00111FED">
            <w:pPr>
              <w:pStyle w:val="TableParagraph"/>
              <w:spacing w:before="1"/>
              <w:ind w:left="107"/>
              <w:rPr>
                <w:sz w:val="24"/>
              </w:rPr>
            </w:pPr>
            <w:r>
              <w:rPr>
                <w:sz w:val="24"/>
              </w:rPr>
              <w:t>Dil Puanı</w:t>
            </w:r>
          </w:p>
        </w:tc>
        <w:tc>
          <w:tcPr>
            <w:tcW w:w="2451" w:type="dxa"/>
          </w:tcPr>
          <w:p w:rsidR="00B6660C" w:rsidRDefault="00B6660C">
            <w:pPr>
              <w:pStyle w:val="TableParagraph"/>
              <w:spacing w:before="3"/>
              <w:rPr>
                <w:b/>
                <w:sz w:val="23"/>
              </w:rPr>
            </w:pPr>
          </w:p>
          <w:p w:rsidR="00B6660C" w:rsidRDefault="00111FED">
            <w:pPr>
              <w:pStyle w:val="TableParagraph"/>
              <w:spacing w:before="1"/>
              <w:ind w:left="107"/>
              <w:rPr>
                <w:sz w:val="24"/>
              </w:rPr>
            </w:pPr>
            <w:r>
              <w:rPr>
                <w:sz w:val="24"/>
              </w:rPr>
              <w:t>30 puan</w:t>
            </w:r>
          </w:p>
        </w:tc>
        <w:tc>
          <w:tcPr>
            <w:tcW w:w="2007" w:type="dxa"/>
          </w:tcPr>
          <w:p w:rsidR="00B6660C" w:rsidRDefault="00B6660C">
            <w:pPr>
              <w:pStyle w:val="TableParagraph"/>
              <w:spacing w:before="3"/>
              <w:rPr>
                <w:b/>
                <w:sz w:val="23"/>
              </w:rPr>
            </w:pPr>
          </w:p>
          <w:p w:rsidR="00B6660C" w:rsidRDefault="00111FED">
            <w:pPr>
              <w:pStyle w:val="TableParagraph"/>
              <w:spacing w:before="1"/>
              <w:ind w:left="109"/>
              <w:rPr>
                <w:sz w:val="24"/>
              </w:rPr>
            </w:pPr>
            <w:r>
              <w:rPr>
                <w:sz w:val="24"/>
              </w:rPr>
              <w:t>%30</w:t>
            </w:r>
          </w:p>
        </w:tc>
      </w:tr>
      <w:tr w:rsidR="00B6660C">
        <w:trPr>
          <w:trHeight w:val="1655"/>
        </w:trPr>
        <w:tc>
          <w:tcPr>
            <w:tcW w:w="456" w:type="dxa"/>
          </w:tcPr>
          <w:p w:rsidR="00B6660C" w:rsidRDefault="00B6660C">
            <w:pPr>
              <w:pStyle w:val="TableParagraph"/>
              <w:rPr>
                <w:b/>
                <w:sz w:val="26"/>
              </w:rPr>
            </w:pPr>
          </w:p>
          <w:p w:rsidR="00B6660C" w:rsidRDefault="00B6660C">
            <w:pPr>
              <w:pStyle w:val="TableParagraph"/>
              <w:rPr>
                <w:b/>
                <w:sz w:val="26"/>
              </w:rPr>
            </w:pPr>
          </w:p>
          <w:p w:rsidR="00B6660C" w:rsidRDefault="00111FED">
            <w:pPr>
              <w:pStyle w:val="TableParagraph"/>
              <w:spacing w:before="221"/>
              <w:ind w:left="107"/>
              <w:rPr>
                <w:sz w:val="24"/>
              </w:rPr>
            </w:pPr>
            <w:r>
              <w:rPr>
                <w:sz w:val="24"/>
              </w:rPr>
              <w:t>3</w:t>
            </w:r>
          </w:p>
        </w:tc>
        <w:tc>
          <w:tcPr>
            <w:tcW w:w="2785" w:type="dxa"/>
          </w:tcPr>
          <w:p w:rsidR="00B6660C" w:rsidRDefault="00B6660C">
            <w:pPr>
              <w:pStyle w:val="TableParagraph"/>
              <w:spacing w:before="3"/>
              <w:rPr>
                <w:b/>
                <w:sz w:val="23"/>
              </w:rPr>
            </w:pPr>
          </w:p>
          <w:p w:rsidR="00B6660C" w:rsidRDefault="00111FED">
            <w:pPr>
              <w:pStyle w:val="TableParagraph"/>
              <w:ind w:left="107" w:right="108"/>
              <w:rPr>
                <w:sz w:val="24"/>
              </w:rPr>
            </w:pPr>
            <w:r>
              <w:rPr>
                <w:sz w:val="24"/>
              </w:rPr>
              <w:t>Bölüm, Ana Bilim Dalı ya da fakültede Erasmus koordinatörlüğü yapıyor olmak</w:t>
            </w:r>
          </w:p>
        </w:tc>
        <w:tc>
          <w:tcPr>
            <w:tcW w:w="2451" w:type="dxa"/>
          </w:tcPr>
          <w:p w:rsidR="00B6660C" w:rsidRDefault="00B6660C">
            <w:pPr>
              <w:pStyle w:val="TableParagraph"/>
              <w:spacing w:before="3"/>
              <w:rPr>
                <w:b/>
                <w:sz w:val="23"/>
              </w:rPr>
            </w:pPr>
          </w:p>
          <w:p w:rsidR="00B6660C" w:rsidRDefault="00111FED">
            <w:pPr>
              <w:pStyle w:val="TableParagraph"/>
              <w:ind w:left="107"/>
              <w:rPr>
                <w:sz w:val="24"/>
              </w:rPr>
            </w:pPr>
            <w:r>
              <w:rPr>
                <w:sz w:val="24"/>
              </w:rPr>
              <w:t>10 puan</w:t>
            </w:r>
          </w:p>
        </w:tc>
        <w:tc>
          <w:tcPr>
            <w:tcW w:w="2007" w:type="dxa"/>
          </w:tcPr>
          <w:p w:rsidR="00B6660C" w:rsidRDefault="00B6660C">
            <w:pPr>
              <w:pStyle w:val="TableParagraph"/>
              <w:spacing w:before="3"/>
              <w:rPr>
                <w:b/>
                <w:sz w:val="23"/>
              </w:rPr>
            </w:pPr>
          </w:p>
          <w:p w:rsidR="00B6660C" w:rsidRDefault="00111FED">
            <w:pPr>
              <w:pStyle w:val="TableParagraph"/>
              <w:ind w:left="109"/>
              <w:rPr>
                <w:sz w:val="24"/>
              </w:rPr>
            </w:pPr>
            <w:r>
              <w:rPr>
                <w:sz w:val="24"/>
              </w:rPr>
              <w:t>%10</w:t>
            </w:r>
          </w:p>
        </w:tc>
      </w:tr>
      <w:tr w:rsidR="00B6660C">
        <w:trPr>
          <w:trHeight w:val="1656"/>
        </w:trPr>
        <w:tc>
          <w:tcPr>
            <w:tcW w:w="456" w:type="dxa"/>
          </w:tcPr>
          <w:p w:rsidR="00B6660C" w:rsidRDefault="00B6660C">
            <w:pPr>
              <w:pStyle w:val="TableParagraph"/>
              <w:rPr>
                <w:b/>
                <w:sz w:val="26"/>
              </w:rPr>
            </w:pPr>
          </w:p>
          <w:p w:rsidR="00B6660C" w:rsidRDefault="00B6660C">
            <w:pPr>
              <w:pStyle w:val="TableParagraph"/>
              <w:rPr>
                <w:b/>
                <w:sz w:val="26"/>
              </w:rPr>
            </w:pPr>
          </w:p>
          <w:p w:rsidR="00B6660C" w:rsidRDefault="00111FED">
            <w:pPr>
              <w:pStyle w:val="TableParagraph"/>
              <w:spacing w:before="221"/>
              <w:ind w:left="107"/>
              <w:rPr>
                <w:sz w:val="24"/>
              </w:rPr>
            </w:pPr>
            <w:r>
              <w:rPr>
                <w:sz w:val="24"/>
              </w:rPr>
              <w:t>4</w:t>
            </w:r>
          </w:p>
        </w:tc>
        <w:tc>
          <w:tcPr>
            <w:tcW w:w="2785" w:type="dxa"/>
          </w:tcPr>
          <w:p w:rsidR="00B6660C" w:rsidRDefault="00B6660C">
            <w:pPr>
              <w:pStyle w:val="TableParagraph"/>
              <w:spacing w:before="3"/>
              <w:rPr>
                <w:b/>
                <w:sz w:val="23"/>
              </w:rPr>
            </w:pPr>
          </w:p>
          <w:p w:rsidR="00B6660C" w:rsidRDefault="00111FED">
            <w:pPr>
              <w:pStyle w:val="TableParagraph"/>
              <w:ind w:left="107" w:right="199"/>
              <w:rPr>
                <w:sz w:val="24"/>
              </w:rPr>
            </w:pPr>
            <w:r>
              <w:rPr>
                <w:sz w:val="24"/>
              </w:rPr>
              <w:t>Erasmus Öğrencileri için 2019-</w:t>
            </w:r>
          </w:p>
          <w:p w:rsidR="00B6660C" w:rsidRDefault="00111FED">
            <w:pPr>
              <w:pStyle w:val="TableParagraph"/>
              <w:ind w:left="107" w:right="108"/>
              <w:rPr>
                <w:sz w:val="24"/>
              </w:rPr>
            </w:pPr>
            <w:r>
              <w:rPr>
                <w:sz w:val="24"/>
              </w:rPr>
              <w:t>2020</w:t>
            </w:r>
            <w:r w:rsidR="004D764C">
              <w:rPr>
                <w:sz w:val="24"/>
              </w:rPr>
              <w:t>/2020-2021/ 2021-2022</w:t>
            </w:r>
            <w:r>
              <w:rPr>
                <w:sz w:val="24"/>
              </w:rPr>
              <w:t xml:space="preserve"> Akademik yılında ders açmış olmak</w:t>
            </w:r>
          </w:p>
        </w:tc>
        <w:tc>
          <w:tcPr>
            <w:tcW w:w="2451" w:type="dxa"/>
          </w:tcPr>
          <w:p w:rsidR="00B6660C" w:rsidRDefault="00B6660C">
            <w:pPr>
              <w:pStyle w:val="TableParagraph"/>
              <w:spacing w:before="3"/>
              <w:rPr>
                <w:b/>
                <w:sz w:val="23"/>
              </w:rPr>
            </w:pPr>
          </w:p>
          <w:p w:rsidR="00B6660C" w:rsidRDefault="00111FED">
            <w:pPr>
              <w:pStyle w:val="TableParagraph"/>
              <w:ind w:left="107"/>
              <w:rPr>
                <w:sz w:val="24"/>
              </w:rPr>
            </w:pPr>
            <w:r>
              <w:rPr>
                <w:sz w:val="24"/>
              </w:rPr>
              <w:t>10 puan</w:t>
            </w:r>
          </w:p>
        </w:tc>
        <w:tc>
          <w:tcPr>
            <w:tcW w:w="2007" w:type="dxa"/>
          </w:tcPr>
          <w:p w:rsidR="00B6660C" w:rsidRDefault="00B6660C">
            <w:pPr>
              <w:pStyle w:val="TableParagraph"/>
              <w:spacing w:before="3"/>
              <w:rPr>
                <w:b/>
                <w:sz w:val="23"/>
              </w:rPr>
            </w:pPr>
          </w:p>
          <w:p w:rsidR="00B6660C" w:rsidRDefault="00111FED">
            <w:pPr>
              <w:pStyle w:val="TableParagraph"/>
              <w:ind w:left="109"/>
              <w:rPr>
                <w:sz w:val="24"/>
              </w:rPr>
            </w:pPr>
            <w:r>
              <w:rPr>
                <w:sz w:val="24"/>
              </w:rPr>
              <w:t>%10</w:t>
            </w:r>
          </w:p>
        </w:tc>
      </w:tr>
      <w:tr w:rsidR="00B6660C">
        <w:trPr>
          <w:trHeight w:val="275"/>
        </w:trPr>
        <w:tc>
          <w:tcPr>
            <w:tcW w:w="456" w:type="dxa"/>
          </w:tcPr>
          <w:p w:rsidR="00B6660C" w:rsidRDefault="00B6660C">
            <w:pPr>
              <w:pStyle w:val="TableParagraph"/>
              <w:rPr>
                <w:sz w:val="20"/>
              </w:rPr>
            </w:pPr>
          </w:p>
        </w:tc>
        <w:tc>
          <w:tcPr>
            <w:tcW w:w="2785" w:type="dxa"/>
          </w:tcPr>
          <w:p w:rsidR="00B6660C" w:rsidRDefault="00B6660C">
            <w:pPr>
              <w:pStyle w:val="TableParagraph"/>
              <w:rPr>
                <w:sz w:val="20"/>
              </w:rPr>
            </w:pPr>
          </w:p>
        </w:tc>
        <w:tc>
          <w:tcPr>
            <w:tcW w:w="2451" w:type="dxa"/>
          </w:tcPr>
          <w:p w:rsidR="00B6660C" w:rsidRDefault="00111FED">
            <w:pPr>
              <w:pStyle w:val="TableParagraph"/>
              <w:spacing w:line="256" w:lineRule="exact"/>
              <w:ind w:left="107"/>
              <w:rPr>
                <w:sz w:val="24"/>
              </w:rPr>
            </w:pPr>
            <w:r>
              <w:rPr>
                <w:sz w:val="24"/>
              </w:rPr>
              <w:t>TOPLAM</w:t>
            </w:r>
          </w:p>
        </w:tc>
        <w:tc>
          <w:tcPr>
            <w:tcW w:w="2007" w:type="dxa"/>
          </w:tcPr>
          <w:p w:rsidR="00B6660C" w:rsidRDefault="00B6660C">
            <w:pPr>
              <w:pStyle w:val="TableParagraph"/>
              <w:rPr>
                <w:sz w:val="20"/>
              </w:rPr>
            </w:pPr>
          </w:p>
        </w:tc>
      </w:tr>
      <w:tr w:rsidR="00B6660C">
        <w:trPr>
          <w:trHeight w:val="275"/>
        </w:trPr>
        <w:tc>
          <w:tcPr>
            <w:tcW w:w="456" w:type="dxa"/>
          </w:tcPr>
          <w:p w:rsidR="00B6660C" w:rsidRDefault="00B6660C">
            <w:pPr>
              <w:pStyle w:val="TableParagraph"/>
              <w:rPr>
                <w:sz w:val="20"/>
              </w:rPr>
            </w:pPr>
          </w:p>
        </w:tc>
        <w:tc>
          <w:tcPr>
            <w:tcW w:w="2785" w:type="dxa"/>
          </w:tcPr>
          <w:p w:rsidR="00B6660C" w:rsidRDefault="00B6660C">
            <w:pPr>
              <w:pStyle w:val="TableParagraph"/>
              <w:rPr>
                <w:sz w:val="20"/>
              </w:rPr>
            </w:pPr>
          </w:p>
        </w:tc>
        <w:tc>
          <w:tcPr>
            <w:tcW w:w="2451" w:type="dxa"/>
          </w:tcPr>
          <w:p w:rsidR="00B6660C" w:rsidRDefault="00111FED">
            <w:pPr>
              <w:pStyle w:val="TableParagraph"/>
              <w:spacing w:line="256" w:lineRule="exact"/>
              <w:ind w:left="107"/>
              <w:rPr>
                <w:sz w:val="24"/>
              </w:rPr>
            </w:pPr>
            <w:r>
              <w:rPr>
                <w:sz w:val="24"/>
              </w:rPr>
              <w:t>100 Puan</w:t>
            </w:r>
          </w:p>
        </w:tc>
        <w:tc>
          <w:tcPr>
            <w:tcW w:w="2007" w:type="dxa"/>
          </w:tcPr>
          <w:p w:rsidR="00B6660C" w:rsidRDefault="00111FED">
            <w:pPr>
              <w:pStyle w:val="TableParagraph"/>
              <w:spacing w:line="256" w:lineRule="exact"/>
              <w:ind w:left="685" w:right="671"/>
              <w:jc w:val="center"/>
              <w:rPr>
                <w:b/>
                <w:sz w:val="24"/>
              </w:rPr>
            </w:pPr>
            <w:r>
              <w:rPr>
                <w:b/>
                <w:sz w:val="24"/>
              </w:rPr>
              <w:t>%100</w:t>
            </w:r>
          </w:p>
        </w:tc>
      </w:tr>
    </w:tbl>
    <w:p w:rsidR="00B6660C" w:rsidRDefault="00B6660C">
      <w:pPr>
        <w:spacing w:line="256" w:lineRule="exact"/>
        <w:jc w:val="center"/>
        <w:rPr>
          <w:sz w:val="24"/>
        </w:rPr>
        <w:sectPr w:rsidR="00B6660C">
          <w:pgSz w:w="11910" w:h="16840"/>
          <w:pgMar w:top="1320" w:right="1300" w:bottom="1200" w:left="1200" w:header="0" w:footer="1002" w:gutter="0"/>
          <w:cols w:space="708"/>
        </w:sectPr>
      </w:pPr>
    </w:p>
    <w:p w:rsidR="00B6660C" w:rsidRDefault="00111FED">
      <w:pPr>
        <w:spacing w:before="74"/>
        <w:ind w:left="1154"/>
        <w:rPr>
          <w:b/>
          <w:sz w:val="24"/>
        </w:rPr>
      </w:pPr>
      <w:r>
        <w:rPr>
          <w:b/>
          <w:sz w:val="24"/>
        </w:rPr>
        <w:lastRenderedPageBreak/>
        <w:t>PERSONEL DERS VERME HAREKETLİLİĞİ KONTENJAN BİLGİLERİ</w:t>
      </w:r>
    </w:p>
    <w:p w:rsidR="00B6660C" w:rsidRDefault="00B6660C">
      <w:pPr>
        <w:pStyle w:val="GvdeMetni"/>
        <w:ind w:left="0"/>
        <w:jc w:val="left"/>
        <w:rPr>
          <w:b/>
          <w:sz w:val="20"/>
        </w:rPr>
      </w:pPr>
    </w:p>
    <w:p w:rsidR="00B6660C" w:rsidRDefault="00B6660C">
      <w:pPr>
        <w:pStyle w:val="GvdeMetni"/>
        <w:spacing w:before="4" w:after="1"/>
        <w:ind w:left="0"/>
        <w:jc w:val="left"/>
        <w:rPr>
          <w:b/>
          <w:sz w:val="25"/>
        </w:rPr>
      </w:pPr>
    </w:p>
    <w:tbl>
      <w:tblPr>
        <w:tblStyle w:val="TableNormal"/>
        <w:tblW w:w="0" w:type="auto"/>
        <w:tblInd w:w="1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1843"/>
        <w:gridCol w:w="1841"/>
        <w:gridCol w:w="1844"/>
      </w:tblGrid>
      <w:tr w:rsidR="00B6660C">
        <w:trPr>
          <w:trHeight w:val="505"/>
        </w:trPr>
        <w:tc>
          <w:tcPr>
            <w:tcW w:w="1841" w:type="dxa"/>
          </w:tcPr>
          <w:p w:rsidR="00B6660C" w:rsidRDefault="00111FED">
            <w:pPr>
              <w:pStyle w:val="TableParagraph"/>
              <w:spacing w:line="251" w:lineRule="exact"/>
              <w:ind w:left="501"/>
              <w:rPr>
                <w:b/>
              </w:rPr>
            </w:pPr>
            <w:r>
              <w:rPr>
                <w:b/>
              </w:rPr>
              <w:t>Ülke Adı</w:t>
            </w:r>
          </w:p>
        </w:tc>
        <w:tc>
          <w:tcPr>
            <w:tcW w:w="1843" w:type="dxa"/>
          </w:tcPr>
          <w:p w:rsidR="00B6660C" w:rsidRDefault="00111FED">
            <w:pPr>
              <w:pStyle w:val="TableParagraph"/>
              <w:spacing w:line="251" w:lineRule="exact"/>
              <w:ind w:left="240"/>
              <w:rPr>
                <w:b/>
              </w:rPr>
            </w:pPr>
            <w:r>
              <w:rPr>
                <w:b/>
              </w:rPr>
              <w:t>Üniversite Adı</w:t>
            </w:r>
          </w:p>
        </w:tc>
        <w:tc>
          <w:tcPr>
            <w:tcW w:w="1841" w:type="dxa"/>
          </w:tcPr>
          <w:p w:rsidR="00B6660C" w:rsidRDefault="00111FED">
            <w:pPr>
              <w:pStyle w:val="TableParagraph"/>
              <w:spacing w:line="254" w:lineRule="exact"/>
              <w:ind w:left="480" w:right="169" w:hanging="281"/>
              <w:rPr>
                <w:b/>
              </w:rPr>
            </w:pPr>
            <w:r>
              <w:rPr>
                <w:b/>
              </w:rPr>
              <w:t>Başvurabilecek Bölümler</w:t>
            </w:r>
          </w:p>
        </w:tc>
        <w:tc>
          <w:tcPr>
            <w:tcW w:w="1844" w:type="dxa"/>
          </w:tcPr>
          <w:p w:rsidR="00B6660C" w:rsidRDefault="00111FED">
            <w:pPr>
              <w:pStyle w:val="TableParagraph"/>
              <w:spacing w:line="251" w:lineRule="exact"/>
              <w:ind w:left="422"/>
              <w:rPr>
                <w:b/>
              </w:rPr>
            </w:pPr>
            <w:r>
              <w:rPr>
                <w:b/>
              </w:rPr>
              <w:t>Kontenjan</w:t>
            </w:r>
          </w:p>
        </w:tc>
      </w:tr>
      <w:tr w:rsidR="00B6660C">
        <w:trPr>
          <w:trHeight w:val="1770"/>
        </w:trPr>
        <w:tc>
          <w:tcPr>
            <w:tcW w:w="1841" w:type="dxa"/>
            <w:vMerge w:val="restart"/>
          </w:tcPr>
          <w:p w:rsidR="00B6660C" w:rsidRDefault="00B6660C">
            <w:pPr>
              <w:pStyle w:val="TableParagraph"/>
              <w:rPr>
                <w:b/>
                <w:sz w:val="24"/>
              </w:rPr>
            </w:pPr>
          </w:p>
          <w:p w:rsidR="00B6660C" w:rsidRDefault="00B6660C">
            <w:pPr>
              <w:pStyle w:val="TableParagraph"/>
              <w:rPr>
                <w:b/>
                <w:sz w:val="24"/>
              </w:rPr>
            </w:pPr>
          </w:p>
          <w:p w:rsidR="00B6660C" w:rsidRDefault="00B6660C">
            <w:pPr>
              <w:pStyle w:val="TableParagraph"/>
              <w:rPr>
                <w:b/>
                <w:sz w:val="24"/>
              </w:rPr>
            </w:pPr>
          </w:p>
          <w:p w:rsidR="00B6660C" w:rsidRDefault="00B6660C">
            <w:pPr>
              <w:pStyle w:val="TableParagraph"/>
              <w:rPr>
                <w:b/>
                <w:sz w:val="24"/>
              </w:rPr>
            </w:pPr>
          </w:p>
          <w:p w:rsidR="00B6660C" w:rsidRDefault="00B6660C">
            <w:pPr>
              <w:pStyle w:val="TableParagraph"/>
              <w:rPr>
                <w:b/>
                <w:sz w:val="24"/>
              </w:rPr>
            </w:pPr>
          </w:p>
          <w:p w:rsidR="00B6660C" w:rsidRDefault="00B6660C">
            <w:pPr>
              <w:pStyle w:val="TableParagraph"/>
              <w:spacing w:before="5"/>
              <w:rPr>
                <w:b/>
                <w:sz w:val="33"/>
              </w:rPr>
            </w:pPr>
          </w:p>
          <w:p w:rsidR="00B6660C" w:rsidRDefault="00111FED">
            <w:pPr>
              <w:pStyle w:val="TableParagraph"/>
              <w:ind w:left="107"/>
            </w:pPr>
            <w:r>
              <w:t>Kazakistan</w:t>
            </w:r>
          </w:p>
        </w:tc>
        <w:tc>
          <w:tcPr>
            <w:tcW w:w="1843" w:type="dxa"/>
          </w:tcPr>
          <w:p w:rsidR="00B6660C" w:rsidRDefault="00B6660C">
            <w:pPr>
              <w:pStyle w:val="TableParagraph"/>
              <w:rPr>
                <w:b/>
                <w:sz w:val="24"/>
              </w:rPr>
            </w:pPr>
          </w:p>
          <w:p w:rsidR="00B6660C" w:rsidRDefault="00B6660C">
            <w:pPr>
              <w:pStyle w:val="TableParagraph"/>
              <w:spacing w:before="5"/>
              <w:rPr>
                <w:b/>
                <w:sz w:val="19"/>
              </w:rPr>
            </w:pPr>
          </w:p>
          <w:p w:rsidR="00B6660C" w:rsidRDefault="00111FED">
            <w:pPr>
              <w:pStyle w:val="TableParagraph"/>
              <w:ind w:left="108" w:right="122"/>
            </w:pPr>
            <w:r>
              <w:t>Al-Farabi Kazakh National University</w:t>
            </w:r>
          </w:p>
        </w:tc>
        <w:tc>
          <w:tcPr>
            <w:tcW w:w="1841" w:type="dxa"/>
          </w:tcPr>
          <w:p w:rsidR="00B6660C" w:rsidRDefault="00B6660C">
            <w:pPr>
              <w:pStyle w:val="TableParagraph"/>
              <w:rPr>
                <w:b/>
                <w:sz w:val="24"/>
              </w:rPr>
            </w:pPr>
          </w:p>
          <w:p w:rsidR="00B6660C" w:rsidRDefault="00B6660C">
            <w:pPr>
              <w:pStyle w:val="TableParagraph"/>
              <w:spacing w:before="5"/>
              <w:rPr>
                <w:b/>
                <w:sz w:val="19"/>
              </w:rPr>
            </w:pPr>
          </w:p>
          <w:p w:rsidR="00B6660C" w:rsidRDefault="00111FED">
            <w:pPr>
              <w:pStyle w:val="TableParagraph"/>
              <w:ind w:left="188" w:right="176"/>
              <w:jc w:val="center"/>
            </w:pPr>
            <w:r>
              <w:t>Gıda Mühendisliği, İktisat</w:t>
            </w:r>
          </w:p>
        </w:tc>
        <w:tc>
          <w:tcPr>
            <w:tcW w:w="1844" w:type="dxa"/>
            <w:vMerge w:val="restart"/>
          </w:tcPr>
          <w:p w:rsidR="00B6660C" w:rsidRDefault="00B6660C">
            <w:pPr>
              <w:pStyle w:val="TableParagraph"/>
              <w:rPr>
                <w:b/>
                <w:sz w:val="24"/>
              </w:rPr>
            </w:pPr>
          </w:p>
          <w:p w:rsidR="00B6660C" w:rsidRDefault="00B6660C">
            <w:pPr>
              <w:pStyle w:val="TableParagraph"/>
              <w:rPr>
                <w:b/>
                <w:sz w:val="24"/>
              </w:rPr>
            </w:pPr>
          </w:p>
          <w:p w:rsidR="00B6660C" w:rsidRDefault="00B6660C">
            <w:pPr>
              <w:pStyle w:val="TableParagraph"/>
              <w:rPr>
                <w:b/>
                <w:sz w:val="24"/>
              </w:rPr>
            </w:pPr>
          </w:p>
          <w:p w:rsidR="00B6660C" w:rsidRDefault="00B6660C">
            <w:pPr>
              <w:pStyle w:val="TableParagraph"/>
              <w:rPr>
                <w:b/>
                <w:sz w:val="24"/>
              </w:rPr>
            </w:pPr>
          </w:p>
          <w:p w:rsidR="00B6660C" w:rsidRDefault="00B6660C">
            <w:pPr>
              <w:pStyle w:val="TableParagraph"/>
              <w:rPr>
                <w:b/>
                <w:sz w:val="24"/>
              </w:rPr>
            </w:pPr>
          </w:p>
          <w:p w:rsidR="00B6660C" w:rsidRDefault="00B6660C">
            <w:pPr>
              <w:pStyle w:val="TableParagraph"/>
              <w:spacing w:before="5"/>
              <w:rPr>
                <w:b/>
                <w:sz w:val="33"/>
              </w:rPr>
            </w:pPr>
          </w:p>
          <w:p w:rsidR="00B6660C" w:rsidRDefault="004D764C">
            <w:pPr>
              <w:pStyle w:val="TableParagraph"/>
              <w:ind w:left="16"/>
              <w:jc w:val="center"/>
            </w:pPr>
            <w:r>
              <w:t>1</w:t>
            </w:r>
          </w:p>
        </w:tc>
      </w:tr>
      <w:tr w:rsidR="00B6660C">
        <w:trPr>
          <w:trHeight w:val="1771"/>
        </w:trPr>
        <w:tc>
          <w:tcPr>
            <w:tcW w:w="1841" w:type="dxa"/>
            <w:vMerge/>
            <w:tcBorders>
              <w:top w:val="nil"/>
            </w:tcBorders>
          </w:tcPr>
          <w:p w:rsidR="00B6660C" w:rsidRDefault="00B6660C">
            <w:pPr>
              <w:rPr>
                <w:sz w:val="2"/>
                <w:szCs w:val="2"/>
              </w:rPr>
            </w:pPr>
          </w:p>
        </w:tc>
        <w:tc>
          <w:tcPr>
            <w:tcW w:w="1843" w:type="dxa"/>
          </w:tcPr>
          <w:p w:rsidR="00B6660C" w:rsidRDefault="00B6660C">
            <w:pPr>
              <w:pStyle w:val="TableParagraph"/>
              <w:rPr>
                <w:b/>
                <w:sz w:val="24"/>
              </w:rPr>
            </w:pPr>
          </w:p>
          <w:p w:rsidR="00B6660C" w:rsidRDefault="00B6660C">
            <w:pPr>
              <w:pStyle w:val="TableParagraph"/>
              <w:spacing w:before="5"/>
              <w:rPr>
                <w:b/>
                <w:sz w:val="19"/>
              </w:rPr>
            </w:pPr>
          </w:p>
          <w:p w:rsidR="00B6660C" w:rsidRDefault="00111FED">
            <w:pPr>
              <w:pStyle w:val="TableParagraph"/>
              <w:ind w:left="108" w:right="220"/>
            </w:pPr>
            <w:r>
              <w:t>Kazakh National Agrarian University</w:t>
            </w:r>
          </w:p>
        </w:tc>
        <w:tc>
          <w:tcPr>
            <w:tcW w:w="1841" w:type="dxa"/>
          </w:tcPr>
          <w:p w:rsidR="00B6660C" w:rsidRDefault="00B6660C">
            <w:pPr>
              <w:pStyle w:val="TableParagraph"/>
              <w:rPr>
                <w:b/>
                <w:sz w:val="24"/>
              </w:rPr>
            </w:pPr>
          </w:p>
          <w:p w:rsidR="00B6660C" w:rsidRDefault="00B6660C">
            <w:pPr>
              <w:pStyle w:val="TableParagraph"/>
              <w:spacing w:before="5"/>
              <w:rPr>
                <w:b/>
                <w:sz w:val="19"/>
              </w:rPr>
            </w:pPr>
          </w:p>
          <w:p w:rsidR="00B6660C" w:rsidRDefault="00111FED">
            <w:pPr>
              <w:pStyle w:val="TableParagraph"/>
              <w:ind w:left="334" w:right="303" w:firstLine="372"/>
            </w:pPr>
            <w:r>
              <w:t>Gıda Mühendisliği</w:t>
            </w:r>
          </w:p>
        </w:tc>
        <w:tc>
          <w:tcPr>
            <w:tcW w:w="1844" w:type="dxa"/>
            <w:vMerge/>
            <w:tcBorders>
              <w:top w:val="nil"/>
            </w:tcBorders>
          </w:tcPr>
          <w:p w:rsidR="00B6660C" w:rsidRDefault="00B6660C">
            <w:pPr>
              <w:rPr>
                <w:sz w:val="2"/>
                <w:szCs w:val="2"/>
              </w:rPr>
            </w:pPr>
          </w:p>
        </w:tc>
      </w:tr>
      <w:tr w:rsidR="00B6660C">
        <w:trPr>
          <w:trHeight w:val="1516"/>
        </w:trPr>
        <w:tc>
          <w:tcPr>
            <w:tcW w:w="1841" w:type="dxa"/>
            <w:vMerge w:val="restart"/>
          </w:tcPr>
          <w:p w:rsidR="00B6660C" w:rsidRDefault="00B6660C">
            <w:pPr>
              <w:pStyle w:val="TableParagraph"/>
              <w:rPr>
                <w:b/>
                <w:sz w:val="24"/>
              </w:rPr>
            </w:pPr>
          </w:p>
          <w:p w:rsidR="00B6660C" w:rsidRDefault="00B6660C">
            <w:pPr>
              <w:pStyle w:val="TableParagraph"/>
              <w:rPr>
                <w:b/>
                <w:sz w:val="24"/>
              </w:rPr>
            </w:pPr>
          </w:p>
          <w:p w:rsidR="00B6660C" w:rsidRDefault="00B6660C">
            <w:pPr>
              <w:pStyle w:val="TableParagraph"/>
              <w:rPr>
                <w:b/>
                <w:sz w:val="24"/>
              </w:rPr>
            </w:pPr>
          </w:p>
          <w:p w:rsidR="00B6660C" w:rsidRDefault="00B6660C">
            <w:pPr>
              <w:pStyle w:val="TableParagraph"/>
              <w:rPr>
                <w:b/>
                <w:sz w:val="24"/>
              </w:rPr>
            </w:pPr>
          </w:p>
          <w:p w:rsidR="00B6660C" w:rsidRDefault="00B6660C">
            <w:pPr>
              <w:pStyle w:val="TableParagraph"/>
              <w:rPr>
                <w:b/>
                <w:sz w:val="24"/>
              </w:rPr>
            </w:pPr>
          </w:p>
          <w:p w:rsidR="00B6660C" w:rsidRDefault="00B6660C">
            <w:pPr>
              <w:pStyle w:val="TableParagraph"/>
              <w:rPr>
                <w:b/>
                <w:sz w:val="24"/>
              </w:rPr>
            </w:pPr>
          </w:p>
          <w:p w:rsidR="00B6660C" w:rsidRDefault="00B6660C">
            <w:pPr>
              <w:pStyle w:val="TableParagraph"/>
              <w:rPr>
                <w:b/>
                <w:sz w:val="24"/>
              </w:rPr>
            </w:pPr>
          </w:p>
          <w:p w:rsidR="00B6660C" w:rsidRDefault="00B6660C">
            <w:pPr>
              <w:pStyle w:val="TableParagraph"/>
              <w:spacing w:before="6"/>
              <w:rPr>
                <w:b/>
                <w:sz w:val="29"/>
              </w:rPr>
            </w:pPr>
          </w:p>
          <w:p w:rsidR="00B6660C" w:rsidRDefault="00111FED">
            <w:pPr>
              <w:pStyle w:val="TableParagraph"/>
              <w:ind w:left="107"/>
            </w:pPr>
            <w:r>
              <w:t>Malezya</w:t>
            </w:r>
          </w:p>
        </w:tc>
        <w:tc>
          <w:tcPr>
            <w:tcW w:w="1843" w:type="dxa"/>
          </w:tcPr>
          <w:p w:rsidR="00B6660C" w:rsidRDefault="00B6660C">
            <w:pPr>
              <w:pStyle w:val="TableParagraph"/>
              <w:rPr>
                <w:b/>
                <w:sz w:val="24"/>
              </w:rPr>
            </w:pPr>
          </w:p>
          <w:p w:rsidR="00B6660C" w:rsidRDefault="00B6660C">
            <w:pPr>
              <w:pStyle w:val="TableParagraph"/>
              <w:spacing w:before="5"/>
              <w:rPr>
                <w:b/>
                <w:sz w:val="19"/>
              </w:rPr>
            </w:pPr>
          </w:p>
          <w:p w:rsidR="00B6660C" w:rsidRDefault="00111FED">
            <w:pPr>
              <w:pStyle w:val="TableParagraph"/>
              <w:ind w:left="108" w:right="305"/>
            </w:pPr>
            <w:r>
              <w:t>Universiti Putra Malaysia</w:t>
            </w:r>
          </w:p>
        </w:tc>
        <w:tc>
          <w:tcPr>
            <w:tcW w:w="1841" w:type="dxa"/>
          </w:tcPr>
          <w:p w:rsidR="00B6660C" w:rsidRDefault="00B6660C">
            <w:pPr>
              <w:pStyle w:val="TableParagraph"/>
              <w:rPr>
                <w:b/>
                <w:sz w:val="24"/>
              </w:rPr>
            </w:pPr>
          </w:p>
          <w:p w:rsidR="00B6660C" w:rsidRDefault="00B6660C">
            <w:pPr>
              <w:pStyle w:val="TableParagraph"/>
              <w:spacing w:before="5"/>
              <w:rPr>
                <w:b/>
                <w:sz w:val="19"/>
              </w:rPr>
            </w:pPr>
          </w:p>
          <w:p w:rsidR="00B6660C" w:rsidRDefault="00111FED">
            <w:pPr>
              <w:pStyle w:val="TableParagraph"/>
              <w:ind w:left="267"/>
            </w:pPr>
            <w:r>
              <w:t>İktisat, İşletme</w:t>
            </w:r>
          </w:p>
        </w:tc>
        <w:tc>
          <w:tcPr>
            <w:tcW w:w="1844" w:type="dxa"/>
            <w:vMerge w:val="restart"/>
          </w:tcPr>
          <w:p w:rsidR="00B6660C" w:rsidRDefault="00B6660C">
            <w:pPr>
              <w:pStyle w:val="TableParagraph"/>
              <w:rPr>
                <w:b/>
                <w:sz w:val="24"/>
              </w:rPr>
            </w:pPr>
          </w:p>
          <w:p w:rsidR="00B6660C" w:rsidRDefault="00B6660C">
            <w:pPr>
              <w:pStyle w:val="TableParagraph"/>
              <w:rPr>
                <w:b/>
                <w:sz w:val="24"/>
              </w:rPr>
            </w:pPr>
          </w:p>
          <w:p w:rsidR="00B6660C" w:rsidRDefault="00B6660C">
            <w:pPr>
              <w:pStyle w:val="TableParagraph"/>
              <w:rPr>
                <w:b/>
                <w:sz w:val="24"/>
              </w:rPr>
            </w:pPr>
          </w:p>
          <w:p w:rsidR="00B6660C" w:rsidRDefault="00B6660C">
            <w:pPr>
              <w:pStyle w:val="TableParagraph"/>
              <w:rPr>
                <w:b/>
                <w:sz w:val="24"/>
              </w:rPr>
            </w:pPr>
          </w:p>
          <w:p w:rsidR="00B6660C" w:rsidRDefault="00B6660C">
            <w:pPr>
              <w:pStyle w:val="TableParagraph"/>
              <w:rPr>
                <w:b/>
                <w:sz w:val="24"/>
              </w:rPr>
            </w:pPr>
          </w:p>
          <w:p w:rsidR="00B6660C" w:rsidRDefault="00B6660C">
            <w:pPr>
              <w:pStyle w:val="TableParagraph"/>
              <w:rPr>
                <w:b/>
                <w:sz w:val="24"/>
              </w:rPr>
            </w:pPr>
          </w:p>
          <w:p w:rsidR="00B6660C" w:rsidRDefault="00B6660C">
            <w:pPr>
              <w:pStyle w:val="TableParagraph"/>
              <w:rPr>
                <w:b/>
                <w:sz w:val="24"/>
              </w:rPr>
            </w:pPr>
          </w:p>
          <w:p w:rsidR="00B6660C" w:rsidRDefault="00B6660C">
            <w:pPr>
              <w:pStyle w:val="TableParagraph"/>
              <w:rPr>
                <w:b/>
                <w:sz w:val="24"/>
              </w:rPr>
            </w:pPr>
          </w:p>
          <w:p w:rsidR="00B6660C" w:rsidRDefault="00B6660C">
            <w:pPr>
              <w:pStyle w:val="TableParagraph"/>
              <w:rPr>
                <w:b/>
                <w:sz w:val="24"/>
              </w:rPr>
            </w:pPr>
          </w:p>
          <w:p w:rsidR="00B6660C" w:rsidRDefault="00B6660C">
            <w:pPr>
              <w:pStyle w:val="TableParagraph"/>
              <w:spacing w:before="4"/>
              <w:rPr>
                <w:b/>
                <w:sz w:val="25"/>
              </w:rPr>
            </w:pPr>
          </w:p>
          <w:p w:rsidR="00B6660C" w:rsidRDefault="004D764C">
            <w:pPr>
              <w:pStyle w:val="TableParagraph"/>
              <w:ind w:left="16"/>
              <w:jc w:val="center"/>
            </w:pPr>
            <w:r>
              <w:t>1</w:t>
            </w:r>
          </w:p>
        </w:tc>
      </w:tr>
      <w:tr w:rsidR="00B6660C">
        <w:trPr>
          <w:trHeight w:val="1519"/>
        </w:trPr>
        <w:tc>
          <w:tcPr>
            <w:tcW w:w="1841" w:type="dxa"/>
            <w:vMerge/>
            <w:tcBorders>
              <w:top w:val="nil"/>
            </w:tcBorders>
          </w:tcPr>
          <w:p w:rsidR="00B6660C" w:rsidRDefault="00B6660C">
            <w:pPr>
              <w:rPr>
                <w:sz w:val="2"/>
                <w:szCs w:val="2"/>
              </w:rPr>
            </w:pPr>
          </w:p>
        </w:tc>
        <w:tc>
          <w:tcPr>
            <w:tcW w:w="1843" w:type="dxa"/>
          </w:tcPr>
          <w:p w:rsidR="00B6660C" w:rsidRDefault="00B6660C">
            <w:pPr>
              <w:pStyle w:val="TableParagraph"/>
              <w:rPr>
                <w:b/>
                <w:sz w:val="24"/>
              </w:rPr>
            </w:pPr>
          </w:p>
          <w:p w:rsidR="00B6660C" w:rsidRDefault="00B6660C">
            <w:pPr>
              <w:pStyle w:val="TableParagraph"/>
              <w:spacing w:before="5"/>
              <w:rPr>
                <w:b/>
                <w:sz w:val="19"/>
              </w:rPr>
            </w:pPr>
          </w:p>
          <w:p w:rsidR="00B6660C" w:rsidRDefault="00111FED">
            <w:pPr>
              <w:pStyle w:val="TableParagraph"/>
              <w:spacing w:line="242" w:lineRule="auto"/>
              <w:ind w:left="108" w:right="293"/>
            </w:pPr>
            <w:r>
              <w:t>Universiti Sains Islam</w:t>
            </w:r>
          </w:p>
        </w:tc>
        <w:tc>
          <w:tcPr>
            <w:tcW w:w="1841" w:type="dxa"/>
          </w:tcPr>
          <w:p w:rsidR="00B6660C" w:rsidRDefault="00B6660C">
            <w:pPr>
              <w:pStyle w:val="TableParagraph"/>
              <w:rPr>
                <w:b/>
                <w:sz w:val="24"/>
              </w:rPr>
            </w:pPr>
          </w:p>
          <w:p w:rsidR="00B6660C" w:rsidRDefault="00B6660C">
            <w:pPr>
              <w:pStyle w:val="TableParagraph"/>
              <w:spacing w:before="5"/>
              <w:rPr>
                <w:b/>
                <w:sz w:val="19"/>
              </w:rPr>
            </w:pPr>
          </w:p>
          <w:p w:rsidR="00B6660C" w:rsidRDefault="00111FED">
            <w:pPr>
              <w:pStyle w:val="TableParagraph"/>
              <w:spacing w:line="242" w:lineRule="auto"/>
              <w:ind w:left="207" w:right="174" w:firstLine="57"/>
            </w:pPr>
            <w:r>
              <w:t>Hukuk, İktisat, İşletme, İlahiyat</w:t>
            </w:r>
          </w:p>
        </w:tc>
        <w:tc>
          <w:tcPr>
            <w:tcW w:w="1844" w:type="dxa"/>
            <w:vMerge/>
            <w:tcBorders>
              <w:top w:val="nil"/>
            </w:tcBorders>
          </w:tcPr>
          <w:p w:rsidR="00B6660C" w:rsidRDefault="00B6660C">
            <w:pPr>
              <w:rPr>
                <w:sz w:val="2"/>
                <w:szCs w:val="2"/>
              </w:rPr>
            </w:pPr>
          </w:p>
        </w:tc>
      </w:tr>
      <w:tr w:rsidR="00B6660C">
        <w:trPr>
          <w:trHeight w:val="2025"/>
        </w:trPr>
        <w:tc>
          <w:tcPr>
            <w:tcW w:w="1841" w:type="dxa"/>
            <w:vMerge/>
            <w:tcBorders>
              <w:top w:val="nil"/>
            </w:tcBorders>
          </w:tcPr>
          <w:p w:rsidR="00B6660C" w:rsidRDefault="00B6660C">
            <w:pPr>
              <w:rPr>
                <w:sz w:val="2"/>
                <w:szCs w:val="2"/>
              </w:rPr>
            </w:pPr>
          </w:p>
        </w:tc>
        <w:tc>
          <w:tcPr>
            <w:tcW w:w="1843" w:type="dxa"/>
          </w:tcPr>
          <w:p w:rsidR="00B6660C" w:rsidRDefault="00B6660C">
            <w:pPr>
              <w:pStyle w:val="TableParagraph"/>
              <w:rPr>
                <w:b/>
                <w:sz w:val="24"/>
              </w:rPr>
            </w:pPr>
          </w:p>
          <w:p w:rsidR="00B6660C" w:rsidRDefault="00B6660C">
            <w:pPr>
              <w:pStyle w:val="TableParagraph"/>
              <w:spacing w:before="5"/>
              <w:rPr>
                <w:b/>
                <w:sz w:val="19"/>
              </w:rPr>
            </w:pPr>
          </w:p>
          <w:p w:rsidR="00B6660C" w:rsidRDefault="00111FED">
            <w:pPr>
              <w:pStyle w:val="TableParagraph"/>
              <w:ind w:left="108" w:right="537"/>
            </w:pPr>
            <w:r>
              <w:t>International Islamic University of Malaysia</w:t>
            </w:r>
          </w:p>
        </w:tc>
        <w:tc>
          <w:tcPr>
            <w:tcW w:w="1841" w:type="dxa"/>
          </w:tcPr>
          <w:p w:rsidR="00B6660C" w:rsidRDefault="00B6660C">
            <w:pPr>
              <w:pStyle w:val="TableParagraph"/>
              <w:rPr>
                <w:b/>
                <w:sz w:val="24"/>
              </w:rPr>
            </w:pPr>
          </w:p>
          <w:p w:rsidR="00B6660C" w:rsidRDefault="00B6660C">
            <w:pPr>
              <w:pStyle w:val="TableParagraph"/>
              <w:spacing w:before="5"/>
              <w:rPr>
                <w:b/>
                <w:sz w:val="19"/>
              </w:rPr>
            </w:pPr>
          </w:p>
          <w:p w:rsidR="00B6660C" w:rsidRDefault="00111FED">
            <w:pPr>
              <w:pStyle w:val="TableParagraph"/>
              <w:ind w:left="207" w:right="174" w:firstLine="57"/>
            </w:pPr>
            <w:r>
              <w:t>Hukuk, İktisat, İşletme, İlahiyat</w:t>
            </w:r>
          </w:p>
        </w:tc>
        <w:tc>
          <w:tcPr>
            <w:tcW w:w="1844" w:type="dxa"/>
            <w:vMerge/>
            <w:tcBorders>
              <w:top w:val="nil"/>
            </w:tcBorders>
          </w:tcPr>
          <w:p w:rsidR="00B6660C" w:rsidRDefault="00B6660C">
            <w:pPr>
              <w:rPr>
                <w:sz w:val="2"/>
                <w:szCs w:val="2"/>
              </w:rPr>
            </w:pPr>
          </w:p>
        </w:tc>
      </w:tr>
    </w:tbl>
    <w:p w:rsidR="00111FED" w:rsidRDefault="00111FED"/>
    <w:sectPr w:rsidR="00111FED">
      <w:pgSz w:w="11910" w:h="16840"/>
      <w:pgMar w:top="1320" w:right="1300" w:bottom="1200" w:left="1200" w:header="0" w:footer="100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B0F" w:rsidRDefault="00655B0F">
      <w:r>
        <w:separator/>
      </w:r>
    </w:p>
  </w:endnote>
  <w:endnote w:type="continuationSeparator" w:id="0">
    <w:p w:rsidR="00655B0F" w:rsidRDefault="0065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Trebuchet MS">
    <w:altName w:val="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60C" w:rsidRDefault="004D764C">
    <w:pPr>
      <w:pStyle w:val="GvdeMetni"/>
      <w:spacing w:line="14" w:lineRule="auto"/>
      <w:ind w:left="0"/>
      <w:jc w:val="left"/>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6553200</wp:posOffset>
              </wp:positionH>
              <wp:positionV relativeFrom="page">
                <wp:posOffset>9916160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60C" w:rsidRDefault="00111FED">
                          <w:pPr>
                            <w:spacing w:line="245" w:lineRule="exact"/>
                            <w:ind w:left="60"/>
                            <w:rPr>
                              <w:rFonts w:ascii="Carlito"/>
                            </w:rPr>
                          </w:pPr>
                          <w:r>
                            <w:fldChar w:fldCharType="begin"/>
                          </w:r>
                          <w:r>
                            <w:rPr>
                              <w:rFonts w:ascii="Carlito"/>
                            </w:rPr>
                            <w:instrText xml:space="preserve"> PAGE </w:instrText>
                          </w:r>
                          <w:r>
                            <w:fldChar w:fldCharType="separate"/>
                          </w:r>
                          <w:r w:rsidR="001E7003">
                            <w:rPr>
                              <w:rFonts w:ascii="Carlito"/>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6pt;margin-top:780.8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" filled="f" stroked="f">
              <v:textbox inset="0,0,0,0">
                <w:txbxContent>
                  <w:p w:rsidR="00B6660C" w:rsidRDefault="00111FED">
                    <w:pPr>
                      <w:spacing w:line="245" w:lineRule="exact"/>
                      <w:ind w:left="60"/>
                      <w:rPr>
                        <w:rFonts w:ascii="Carlito"/>
                      </w:rPr>
                    </w:pPr>
                    <w:r>
                      <w:fldChar w:fldCharType="begin"/>
                    </w:r>
                    <w:r>
                      <w:rPr>
                        <w:rFonts w:ascii="Carlito"/>
                      </w:rPr>
                      <w:instrText xml:space="preserve"> PAGE </w:instrText>
                    </w:r>
                    <w:r>
                      <w:fldChar w:fldCharType="separate"/>
                    </w:r>
                    <w:r w:rsidR="001E7003">
                      <w:rPr>
                        <w:rFonts w:ascii="Carlito"/>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B0F" w:rsidRDefault="00655B0F">
      <w:r>
        <w:separator/>
      </w:r>
    </w:p>
  </w:footnote>
  <w:footnote w:type="continuationSeparator" w:id="0">
    <w:p w:rsidR="00655B0F" w:rsidRDefault="00655B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D2430"/>
    <w:multiLevelType w:val="hybridMultilevel"/>
    <w:tmpl w:val="E0BC3B8E"/>
    <w:lvl w:ilvl="0" w:tplc="1A0E02F2">
      <w:numFmt w:val="bullet"/>
      <w:lvlText w:val="-"/>
      <w:lvlJc w:val="left"/>
      <w:pPr>
        <w:ind w:left="216" w:hanging="140"/>
      </w:pPr>
      <w:rPr>
        <w:rFonts w:ascii="Times New Roman" w:eastAsia="Times New Roman" w:hAnsi="Times New Roman" w:cs="Times New Roman" w:hint="default"/>
        <w:w w:val="99"/>
        <w:sz w:val="24"/>
        <w:szCs w:val="24"/>
        <w:lang w:val="tr-TR" w:eastAsia="en-US" w:bidi="ar-SA"/>
      </w:rPr>
    </w:lvl>
    <w:lvl w:ilvl="1" w:tplc="6FC2D09C">
      <w:numFmt w:val="bullet"/>
      <w:lvlText w:val="•"/>
      <w:lvlJc w:val="left"/>
      <w:pPr>
        <w:ind w:left="1138" w:hanging="140"/>
      </w:pPr>
      <w:rPr>
        <w:rFonts w:hint="default"/>
        <w:lang w:val="tr-TR" w:eastAsia="en-US" w:bidi="ar-SA"/>
      </w:rPr>
    </w:lvl>
    <w:lvl w:ilvl="2" w:tplc="723CD9A4">
      <w:numFmt w:val="bullet"/>
      <w:lvlText w:val="•"/>
      <w:lvlJc w:val="left"/>
      <w:pPr>
        <w:ind w:left="2057" w:hanging="140"/>
      </w:pPr>
      <w:rPr>
        <w:rFonts w:hint="default"/>
        <w:lang w:val="tr-TR" w:eastAsia="en-US" w:bidi="ar-SA"/>
      </w:rPr>
    </w:lvl>
    <w:lvl w:ilvl="3" w:tplc="255235C4">
      <w:numFmt w:val="bullet"/>
      <w:lvlText w:val="•"/>
      <w:lvlJc w:val="left"/>
      <w:pPr>
        <w:ind w:left="2975" w:hanging="140"/>
      </w:pPr>
      <w:rPr>
        <w:rFonts w:hint="default"/>
        <w:lang w:val="tr-TR" w:eastAsia="en-US" w:bidi="ar-SA"/>
      </w:rPr>
    </w:lvl>
    <w:lvl w:ilvl="4" w:tplc="1A429C26">
      <w:numFmt w:val="bullet"/>
      <w:lvlText w:val="•"/>
      <w:lvlJc w:val="left"/>
      <w:pPr>
        <w:ind w:left="3894" w:hanging="140"/>
      </w:pPr>
      <w:rPr>
        <w:rFonts w:hint="default"/>
        <w:lang w:val="tr-TR" w:eastAsia="en-US" w:bidi="ar-SA"/>
      </w:rPr>
    </w:lvl>
    <w:lvl w:ilvl="5" w:tplc="C73A98A8">
      <w:numFmt w:val="bullet"/>
      <w:lvlText w:val="•"/>
      <w:lvlJc w:val="left"/>
      <w:pPr>
        <w:ind w:left="4813" w:hanging="140"/>
      </w:pPr>
      <w:rPr>
        <w:rFonts w:hint="default"/>
        <w:lang w:val="tr-TR" w:eastAsia="en-US" w:bidi="ar-SA"/>
      </w:rPr>
    </w:lvl>
    <w:lvl w:ilvl="6" w:tplc="F0FC7C1C">
      <w:numFmt w:val="bullet"/>
      <w:lvlText w:val="•"/>
      <w:lvlJc w:val="left"/>
      <w:pPr>
        <w:ind w:left="5731" w:hanging="140"/>
      </w:pPr>
      <w:rPr>
        <w:rFonts w:hint="default"/>
        <w:lang w:val="tr-TR" w:eastAsia="en-US" w:bidi="ar-SA"/>
      </w:rPr>
    </w:lvl>
    <w:lvl w:ilvl="7" w:tplc="E13AF34E">
      <w:numFmt w:val="bullet"/>
      <w:lvlText w:val="•"/>
      <w:lvlJc w:val="left"/>
      <w:pPr>
        <w:ind w:left="6650" w:hanging="140"/>
      </w:pPr>
      <w:rPr>
        <w:rFonts w:hint="default"/>
        <w:lang w:val="tr-TR" w:eastAsia="en-US" w:bidi="ar-SA"/>
      </w:rPr>
    </w:lvl>
    <w:lvl w:ilvl="8" w:tplc="95267FAC">
      <w:numFmt w:val="bullet"/>
      <w:lvlText w:val="•"/>
      <w:lvlJc w:val="left"/>
      <w:pPr>
        <w:ind w:left="7569" w:hanging="140"/>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0C"/>
    <w:rsid w:val="00111FED"/>
    <w:rsid w:val="001E7003"/>
    <w:rsid w:val="004D764C"/>
    <w:rsid w:val="00655B0F"/>
    <w:rsid w:val="00B666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C3122"/>
  <w15:docId w15:val="{025C0146-E323-48E9-B826-FD5D8404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4"/>
      <w:ind w:left="2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16"/>
      <w:jc w:val="both"/>
    </w:pPr>
    <w:rPr>
      <w:sz w:val="24"/>
      <w:szCs w:val="24"/>
    </w:rPr>
  </w:style>
  <w:style w:type="paragraph" w:styleId="ListeParagraf">
    <w:name w:val="List Paragraph"/>
    <w:basedOn w:val="Normal"/>
    <w:uiPriority w:val="1"/>
    <w:qFormat/>
    <w:pPr>
      <w:ind w:left="21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rasmus@sdu.edu.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93.140.181.179/Account/Login.aspx?pId=2035&amp;ReturnUrl=%2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programmes/erasmus-plus/resources_en" TargetMode="External"/><Relationship Id="rId5" Type="http://schemas.openxmlformats.org/officeDocument/2006/relationships/footnotes" Target="footnotes.xml"/><Relationship Id="rId10" Type="http://schemas.openxmlformats.org/officeDocument/2006/relationships/hyperlink" Target="http://ec.europa.eu/programmes/erasmus-plus/resources_en"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784</Words>
  <Characters>4474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Erasmus</dc:creator>
  <cp:lastModifiedBy>Betül Şirin</cp:lastModifiedBy>
  <cp:revision>2</cp:revision>
  <dcterms:created xsi:type="dcterms:W3CDTF">2021-11-10T05:15:00Z</dcterms:created>
  <dcterms:modified xsi:type="dcterms:W3CDTF">2021-11-10T05:15:00Z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Microsoft® Word 2010</vt:lpwstr>
  </property>
  <property fmtid="{D5CDD505-2E9C-101B-9397-08002B2CF9AE}" pid="4" name="LastSaved">
    <vt:filetime>2021-11-09T00:00:00Z</vt:filetime>
  </property>
</Properties>
</file>