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 w:rsidP="00535E2C">
      <w:pPr>
        <w:pStyle w:val="Balk1"/>
        <w:spacing w:before="76" w:line="360" w:lineRule="auto"/>
        <w:ind w:left="0" w:right="669"/>
        <w:jc w:val="both"/>
        <w:rPr>
          <w:lang w:val="tr-TR"/>
        </w:rPr>
      </w:pPr>
      <w:r w:rsidRPr="00B704BD">
        <w:rPr>
          <w:lang w:val="tr-TR"/>
        </w:rPr>
        <w:t xml:space="preserve"> </w:t>
      </w:r>
      <w:r w:rsidR="00C258C8" w:rsidRPr="00B704BD">
        <w:rPr>
          <w:lang w:val="tr-TR"/>
        </w:rPr>
        <w:t xml:space="preserve">2018 – 2019 AKADEMİK YILI </w:t>
      </w:r>
      <w:r w:rsidRPr="00B704BD">
        <w:rPr>
          <w:lang w:val="tr-TR"/>
        </w:rPr>
        <w:t xml:space="preserve">ULUSLARARASI DEĞİŞİM PROGRAMLARI ERASMUS + DEĞİŞİM PROGRAMI, </w:t>
      </w:r>
      <w:r w:rsidR="00C258C8" w:rsidRPr="00B704BD">
        <w:rPr>
          <w:lang w:val="tr-TR"/>
        </w:rPr>
        <w:t>ÖĞRENİM ve STAJ HAREKETLİLİĞİ İLANI</w:t>
      </w:r>
    </w:p>
    <w:p w:rsidR="00E57BC5" w:rsidRPr="00B704BD" w:rsidRDefault="00E57BC5" w:rsidP="00535E2C">
      <w:pPr>
        <w:pStyle w:val="GvdeMetni"/>
        <w:spacing w:before="4" w:line="360" w:lineRule="auto"/>
        <w:ind w:left="0"/>
        <w:rPr>
          <w:b/>
          <w:sz w:val="27"/>
          <w:lang w:val="tr-TR"/>
        </w:rPr>
      </w:pPr>
    </w:p>
    <w:p w:rsidR="002D6EC7" w:rsidRPr="002D6EC7" w:rsidRDefault="002D6EC7" w:rsidP="00535E2C">
      <w:pPr>
        <w:pStyle w:val="GvdeMetni"/>
        <w:spacing w:before="160" w:line="360" w:lineRule="auto"/>
        <w:ind w:right="512" w:firstLine="707"/>
        <w:jc w:val="both"/>
        <w:rPr>
          <w:b/>
          <w:bCs/>
          <w:lang w:val="tr-TR"/>
        </w:rPr>
      </w:pPr>
      <w:r w:rsidRPr="002D6EC7">
        <w:rPr>
          <w:b/>
          <w:bCs/>
          <w:lang w:val="tr-TR"/>
        </w:rPr>
        <w:t>BAŞVURU ŞARTLARI</w:t>
      </w:r>
    </w:p>
    <w:p w:rsidR="00E57BC5" w:rsidRPr="00B704BD" w:rsidRDefault="00C258C8" w:rsidP="00535E2C">
      <w:pPr>
        <w:pStyle w:val="GvdeMetni"/>
        <w:spacing w:before="159" w:line="360" w:lineRule="auto"/>
        <w:ind w:right="518" w:firstLine="707"/>
        <w:jc w:val="both"/>
        <w:rPr>
          <w:b/>
          <w:bCs/>
          <w:i/>
          <w:iCs/>
          <w:lang w:val="tr-TR"/>
        </w:rPr>
      </w:pPr>
      <w:r w:rsidRPr="00B704BD">
        <w:rPr>
          <w:lang w:val="tr-TR"/>
        </w:rPr>
        <w:t>Başvuru için Genel Akademik Not Ortalamasının; Lisans öğrencileri için 2.20 / 4.00, Yüksek Lisans veya Doktora öğrencileri için ise 2,5 / 4,00 olması gerekmektedir. Not ortalamasının tespitinde öğrencinin almış olduğu en son transkript kullanılır.</w:t>
      </w:r>
      <w:r w:rsidR="00EA18B2" w:rsidRPr="00B704BD">
        <w:rPr>
          <w:lang w:val="tr-TR"/>
        </w:rPr>
        <w:t xml:space="preserve"> </w:t>
      </w:r>
      <w:r w:rsidR="00EA18B2" w:rsidRPr="00B704BD">
        <w:rPr>
          <w:b/>
          <w:bCs/>
          <w:i/>
          <w:iCs/>
          <w:lang w:val="tr-TR"/>
        </w:rPr>
        <w:t>Fakat Genel Akademik Not Ortalaması Lisans öğrencileri için 2.00 ve üzeri olan öğrenciler başvuruda bulunabilirler ve yedek öğrenci konumunda değerlendirmeye alınırlar. Not ortalamasını 2.20’ye yükselttiği zaman asil konumuna geçebilirler.</w:t>
      </w:r>
    </w:p>
    <w:p w:rsidR="00B704BD" w:rsidRDefault="00C258C8" w:rsidP="00B704BD">
      <w:pPr>
        <w:pStyle w:val="GvdeMetni"/>
        <w:spacing w:before="161" w:line="360" w:lineRule="auto"/>
        <w:ind w:left="113" w:right="516" w:firstLine="709"/>
        <w:jc w:val="both"/>
        <w:rPr>
          <w:lang w:val="tr-TR"/>
        </w:rPr>
      </w:pPr>
      <w:r w:rsidRPr="00B704BD">
        <w:rPr>
          <w:lang w:val="tr-TR"/>
        </w:rPr>
        <w:t>Başvuru yapan öğrencilerin Süleyman Demirel Üniversitesi Yabancı Diller Yüksekokulu tarafından hazırlanan yabancı dil sınavından (İngilizce / Almanca) veya ÖSYM tarafından</w:t>
      </w:r>
      <w:r w:rsidRPr="00B704BD">
        <w:rPr>
          <w:spacing w:val="-6"/>
          <w:lang w:val="tr-TR"/>
        </w:rPr>
        <w:t xml:space="preserve"> </w:t>
      </w:r>
      <w:r w:rsidRPr="00B704BD">
        <w:rPr>
          <w:lang w:val="tr-TR"/>
        </w:rPr>
        <w:t>eşdeğerliği</w:t>
      </w:r>
      <w:r w:rsidRPr="00B704BD">
        <w:rPr>
          <w:spacing w:val="-6"/>
          <w:lang w:val="tr-TR"/>
        </w:rPr>
        <w:t xml:space="preserve"> </w:t>
      </w:r>
      <w:r w:rsidRPr="00B704BD">
        <w:rPr>
          <w:lang w:val="tr-TR"/>
        </w:rPr>
        <w:t>kabul</w:t>
      </w:r>
      <w:r w:rsidRPr="00B704BD">
        <w:rPr>
          <w:spacing w:val="-7"/>
          <w:lang w:val="tr-TR"/>
        </w:rPr>
        <w:t xml:space="preserve"> </w:t>
      </w:r>
      <w:r w:rsidRPr="00B704BD">
        <w:rPr>
          <w:lang w:val="tr-TR"/>
        </w:rPr>
        <w:t>edilmiş</w:t>
      </w:r>
      <w:r w:rsidRPr="00B704BD">
        <w:rPr>
          <w:spacing w:val="-8"/>
          <w:lang w:val="tr-TR"/>
        </w:rPr>
        <w:t xml:space="preserve"> </w:t>
      </w:r>
      <w:r w:rsidRPr="00B704BD">
        <w:rPr>
          <w:lang w:val="tr-TR"/>
        </w:rPr>
        <w:t>sınavlardan</w:t>
      </w:r>
      <w:r w:rsidRPr="00B704BD">
        <w:rPr>
          <w:spacing w:val="-7"/>
          <w:lang w:val="tr-TR"/>
        </w:rPr>
        <w:t xml:space="preserve"> </w:t>
      </w:r>
      <w:r w:rsidRPr="00B704BD">
        <w:rPr>
          <w:lang w:val="tr-TR"/>
        </w:rPr>
        <w:t>(İngilizce</w:t>
      </w:r>
      <w:r w:rsidRPr="00B704BD">
        <w:rPr>
          <w:spacing w:val="-8"/>
          <w:lang w:val="tr-TR"/>
        </w:rPr>
        <w:t xml:space="preserve"> </w:t>
      </w:r>
      <w:r w:rsidRPr="00B704BD">
        <w:rPr>
          <w:lang w:val="tr-TR"/>
        </w:rPr>
        <w:t>/</w:t>
      </w:r>
      <w:r w:rsidRPr="00B704BD">
        <w:rPr>
          <w:spacing w:val="-7"/>
          <w:lang w:val="tr-TR"/>
        </w:rPr>
        <w:t xml:space="preserve"> </w:t>
      </w:r>
      <w:r w:rsidRPr="00B704BD">
        <w:rPr>
          <w:lang w:val="tr-TR"/>
        </w:rPr>
        <w:t>Almanca)</w:t>
      </w:r>
      <w:r w:rsidRPr="00B704BD">
        <w:rPr>
          <w:spacing w:val="-1"/>
          <w:lang w:val="tr-TR"/>
        </w:rPr>
        <w:t xml:space="preserve"> </w:t>
      </w:r>
      <w:r w:rsidRPr="00B704BD">
        <w:rPr>
          <w:b/>
          <w:i/>
          <w:iCs/>
          <w:lang w:val="tr-TR"/>
        </w:rPr>
        <w:t>100</w:t>
      </w:r>
      <w:r w:rsidRPr="00B704BD">
        <w:rPr>
          <w:b/>
          <w:i/>
          <w:iCs/>
          <w:spacing w:val="-5"/>
          <w:lang w:val="tr-TR"/>
        </w:rPr>
        <w:t xml:space="preserve"> </w:t>
      </w:r>
      <w:r w:rsidRPr="00B704BD">
        <w:rPr>
          <w:b/>
          <w:i/>
          <w:iCs/>
          <w:lang w:val="tr-TR"/>
        </w:rPr>
        <w:t>üzerinden</w:t>
      </w:r>
      <w:r w:rsidRPr="00B704BD">
        <w:rPr>
          <w:b/>
          <w:i/>
          <w:iCs/>
          <w:spacing w:val="-8"/>
          <w:lang w:val="tr-TR"/>
        </w:rPr>
        <w:t xml:space="preserve"> </w:t>
      </w:r>
      <w:r w:rsidRPr="00B704BD">
        <w:rPr>
          <w:b/>
          <w:i/>
          <w:iCs/>
          <w:lang w:val="tr-TR"/>
        </w:rPr>
        <w:t>en</w:t>
      </w:r>
      <w:r w:rsidRPr="00B704BD">
        <w:rPr>
          <w:b/>
          <w:i/>
          <w:iCs/>
          <w:spacing w:val="-7"/>
          <w:lang w:val="tr-TR"/>
        </w:rPr>
        <w:t xml:space="preserve"> </w:t>
      </w:r>
      <w:r w:rsidRPr="00B704BD">
        <w:rPr>
          <w:b/>
          <w:i/>
          <w:iCs/>
          <w:lang w:val="tr-TR"/>
        </w:rPr>
        <w:t>az</w:t>
      </w:r>
      <w:r w:rsidRPr="00B704BD">
        <w:rPr>
          <w:b/>
          <w:i/>
          <w:iCs/>
          <w:spacing w:val="-8"/>
          <w:lang w:val="tr-TR"/>
        </w:rPr>
        <w:t xml:space="preserve"> </w:t>
      </w:r>
      <w:r w:rsidRPr="00B704BD">
        <w:rPr>
          <w:b/>
          <w:i/>
          <w:iCs/>
          <w:lang w:val="tr-TR"/>
        </w:rPr>
        <w:t>50 puan</w:t>
      </w:r>
      <w:r w:rsidRPr="00B704BD">
        <w:rPr>
          <w:b/>
          <w:i/>
          <w:iCs/>
          <w:spacing w:val="-1"/>
          <w:lang w:val="tr-TR"/>
        </w:rPr>
        <w:t xml:space="preserve"> </w:t>
      </w:r>
      <w:r w:rsidRPr="00B704BD">
        <w:rPr>
          <w:b/>
          <w:i/>
          <w:iCs/>
          <w:lang w:val="tr-TR"/>
        </w:rPr>
        <w:t>alması</w:t>
      </w:r>
      <w:r w:rsidRPr="00B704BD">
        <w:rPr>
          <w:b/>
          <w:i/>
          <w:iCs/>
          <w:spacing w:val="-14"/>
          <w:lang w:val="tr-TR"/>
        </w:rPr>
        <w:t xml:space="preserve"> </w:t>
      </w:r>
      <w:r w:rsidRPr="00B704BD">
        <w:rPr>
          <w:b/>
          <w:i/>
          <w:iCs/>
          <w:lang w:val="tr-TR"/>
        </w:rPr>
        <w:t>gerekmektedir.</w:t>
      </w:r>
      <w:r w:rsidRPr="00B704BD">
        <w:rPr>
          <w:b/>
          <w:i/>
          <w:iCs/>
          <w:spacing w:val="-15"/>
          <w:lang w:val="tr-TR"/>
        </w:rPr>
        <w:t xml:space="preserve"> </w:t>
      </w:r>
      <w:r w:rsidR="00535E2C" w:rsidRPr="00B704BD">
        <w:rPr>
          <w:b/>
          <w:i/>
          <w:iCs/>
          <w:spacing w:val="-15"/>
          <w:lang w:val="tr-TR"/>
        </w:rPr>
        <w:t>48 ve 46 puan alan öğrenciler yedek konumunda değerlendirmeye alınacaklardır.</w:t>
      </w:r>
      <w:r w:rsidR="00535E2C" w:rsidRPr="00B704BD">
        <w:rPr>
          <w:spacing w:val="-15"/>
          <w:lang w:val="tr-TR"/>
        </w:rPr>
        <w:t xml:space="preserve"> </w:t>
      </w:r>
      <w:r w:rsidR="00535E2C" w:rsidRPr="00B704BD">
        <w:rPr>
          <w:lang w:val="tr-TR"/>
        </w:rPr>
        <w:t>46</w:t>
      </w:r>
      <w:r w:rsidR="00EA18B2" w:rsidRPr="00B704BD">
        <w:rPr>
          <w:lang w:val="tr-TR"/>
        </w:rPr>
        <w:t xml:space="preserve"> </w:t>
      </w:r>
      <w:r w:rsidRPr="00B704BD">
        <w:rPr>
          <w:lang w:val="tr-TR"/>
        </w:rPr>
        <w:t>puanın</w:t>
      </w:r>
      <w:r w:rsidRPr="00B704BD">
        <w:rPr>
          <w:spacing w:val="-14"/>
          <w:lang w:val="tr-TR"/>
        </w:rPr>
        <w:t xml:space="preserve"> </w:t>
      </w:r>
      <w:r w:rsidRPr="00B704BD">
        <w:rPr>
          <w:lang w:val="tr-TR"/>
        </w:rPr>
        <w:t>altında</w:t>
      </w:r>
      <w:r w:rsidRPr="00B704BD">
        <w:rPr>
          <w:spacing w:val="-14"/>
          <w:lang w:val="tr-TR"/>
        </w:rPr>
        <w:t xml:space="preserve"> </w:t>
      </w:r>
      <w:r w:rsidRPr="00B704BD">
        <w:rPr>
          <w:lang w:val="tr-TR"/>
        </w:rPr>
        <w:t>olan</w:t>
      </w:r>
      <w:r w:rsidRPr="00B704BD">
        <w:rPr>
          <w:spacing w:val="-14"/>
          <w:lang w:val="tr-TR"/>
        </w:rPr>
        <w:t xml:space="preserve"> </w:t>
      </w:r>
      <w:r w:rsidRPr="00B704BD">
        <w:rPr>
          <w:lang w:val="tr-TR"/>
        </w:rPr>
        <w:t>öğrenciler</w:t>
      </w:r>
      <w:r w:rsidRPr="00B704BD">
        <w:rPr>
          <w:spacing w:val="-14"/>
          <w:lang w:val="tr-TR"/>
        </w:rPr>
        <w:t xml:space="preserve"> </w:t>
      </w:r>
      <w:r w:rsidRPr="00B704BD">
        <w:rPr>
          <w:lang w:val="tr-TR"/>
        </w:rPr>
        <w:t>değerlendirmeye</w:t>
      </w:r>
      <w:r w:rsidRPr="00B704BD">
        <w:rPr>
          <w:spacing w:val="-13"/>
          <w:lang w:val="tr-TR"/>
        </w:rPr>
        <w:t xml:space="preserve"> </w:t>
      </w:r>
      <w:r w:rsidRPr="00B704BD">
        <w:rPr>
          <w:lang w:val="tr-TR"/>
        </w:rPr>
        <w:t xml:space="preserve">alınmayacaktır. Süleyman Demirel Üniversitesi Yabancı Diller Yüksekokulu tarafından hazırlanan </w:t>
      </w:r>
      <w:r w:rsidRPr="00511D8E">
        <w:rPr>
          <w:b/>
          <w:u w:val="single"/>
          <w:lang w:val="tr-TR"/>
        </w:rPr>
        <w:t xml:space="preserve">yabancı dil sınavı çoktan seçmeli olup; dinleme, konuşma ve yazma bölümleri </w:t>
      </w:r>
      <w:r w:rsidRPr="00511D8E">
        <w:rPr>
          <w:b/>
          <w:bCs/>
          <w:u w:val="single"/>
          <w:lang w:val="tr-TR"/>
        </w:rPr>
        <w:t>yer</w:t>
      </w:r>
      <w:r w:rsidRPr="00511D8E">
        <w:rPr>
          <w:b/>
          <w:bCs/>
          <w:spacing w:val="-8"/>
          <w:u w:val="single"/>
          <w:lang w:val="tr-TR"/>
        </w:rPr>
        <w:t xml:space="preserve"> </w:t>
      </w:r>
      <w:r w:rsidRPr="00511D8E">
        <w:rPr>
          <w:b/>
          <w:bCs/>
          <w:u w:val="single"/>
          <w:lang w:val="tr-TR"/>
        </w:rPr>
        <w:t>almamaktadır</w:t>
      </w:r>
      <w:r w:rsidRPr="00B704BD">
        <w:rPr>
          <w:lang w:val="tr-TR"/>
        </w:rPr>
        <w:t>.</w:t>
      </w:r>
      <w:r w:rsidR="007C27FB" w:rsidRPr="00B704BD">
        <w:rPr>
          <w:lang w:val="tr-TR"/>
        </w:rPr>
        <w:t xml:space="preserve"> </w:t>
      </w:r>
    </w:p>
    <w:p w:rsidR="002A49A9" w:rsidRDefault="002A49A9" w:rsidP="00B704BD">
      <w:pPr>
        <w:pStyle w:val="GvdeMetni"/>
        <w:spacing w:before="161" w:line="360" w:lineRule="auto"/>
        <w:ind w:left="113" w:right="516" w:firstLine="709"/>
        <w:jc w:val="both"/>
        <w:rPr>
          <w:lang w:val="tr-TR"/>
        </w:rPr>
      </w:pPr>
      <w:r w:rsidRPr="00B704BD">
        <w:rPr>
          <w:lang w:val="tr-TR"/>
        </w:rPr>
        <w:t>Süleyman Demirel Üniversitesi Yabancı Diller Yüksek Okulunca yapılacak</w:t>
      </w:r>
      <w:r>
        <w:rPr>
          <w:lang w:val="tr-TR"/>
        </w:rPr>
        <w:t xml:space="preserve"> dil sınavına katılacak olanların başvuru esnasında bu durumu belirtmeleri zorunludur.</w:t>
      </w:r>
    </w:p>
    <w:p w:rsidR="002D6EC7" w:rsidRDefault="002D6EC7" w:rsidP="002D6EC7">
      <w:pPr>
        <w:pStyle w:val="GvdeMetni"/>
        <w:spacing w:before="148" w:line="360" w:lineRule="auto"/>
        <w:ind w:right="520" w:firstLine="707"/>
        <w:jc w:val="both"/>
        <w:rPr>
          <w:lang w:val="tr-TR"/>
        </w:rPr>
      </w:pPr>
      <w:r w:rsidRPr="00B704BD">
        <w:rPr>
          <w:lang w:val="tr-TR"/>
        </w:rPr>
        <w:t xml:space="preserve">Süleyman Demirel Üniversitesi Yabancı Diller Yüksek Okulunca yapılacak olan dil sınavı dışındaki sınavlara ait sonuç belgesinin </w:t>
      </w:r>
      <w:r w:rsidR="00511D8E">
        <w:rPr>
          <w:lang w:val="tr-TR"/>
        </w:rPr>
        <w:t xml:space="preserve">başvuru esnasında </w:t>
      </w:r>
      <w:r w:rsidRPr="00B704BD">
        <w:rPr>
          <w:lang w:val="tr-TR"/>
        </w:rPr>
        <w:t>sisteme yüklenmesi zorunludur. Sisteme belgesini yüklemeyen öğrencilerin Yabancı Diller Yüksek Okulunca yapılacak olan sınava girmesi zorunlu olacaktır.</w:t>
      </w:r>
    </w:p>
    <w:p w:rsidR="00DE0C35" w:rsidRPr="00DE0C35" w:rsidRDefault="00DE0C35" w:rsidP="002D6EC7">
      <w:pPr>
        <w:pStyle w:val="GvdeMetni"/>
        <w:spacing w:before="148" w:line="360" w:lineRule="auto"/>
        <w:ind w:right="520" w:firstLine="707"/>
        <w:jc w:val="both"/>
        <w:rPr>
          <w:b/>
          <w:lang w:val="tr-TR"/>
        </w:rPr>
      </w:pPr>
      <w:r w:rsidRPr="00DE0C35">
        <w:rPr>
          <w:b/>
          <w:lang w:val="tr-TR"/>
        </w:rPr>
        <w:t>KONTENJAN BİLGİLERİ</w:t>
      </w:r>
    </w:p>
    <w:p w:rsidR="00DE0C35" w:rsidRDefault="005B3BB3" w:rsidP="005B3BB3">
      <w:pPr>
        <w:pStyle w:val="GvdeMetni"/>
        <w:spacing w:before="148" w:line="360" w:lineRule="auto"/>
        <w:ind w:right="520" w:firstLine="707"/>
        <w:jc w:val="both"/>
        <w:rPr>
          <w:lang w:val="tr-TR"/>
        </w:rPr>
      </w:pPr>
      <w:r>
        <w:rPr>
          <w:lang w:val="tr-TR"/>
        </w:rPr>
        <w:t xml:space="preserve">Koordinatörlüğümüzün anlaşmalı olduğu Üniversitelere, bölümlere ve kontenjan sayılarına </w:t>
      </w:r>
      <w:hyperlink r:id="rId7" w:history="1">
        <w:r w:rsidRPr="002655A4">
          <w:rPr>
            <w:rStyle w:val="Kpr"/>
            <w:lang w:val="tr-TR"/>
          </w:rPr>
          <w:t>http://erasmus.sdu.edu.tr/</w:t>
        </w:r>
      </w:hyperlink>
      <w:r>
        <w:rPr>
          <w:lang w:val="tr-TR"/>
        </w:rPr>
        <w:t xml:space="preserve"> adresindeki “İkili Anlaşmalar” linkinden ulaşabilirsiniz. </w:t>
      </w:r>
    </w:p>
    <w:p w:rsidR="002D6EC7" w:rsidRPr="002D6EC7" w:rsidRDefault="002D6EC7" w:rsidP="00B704BD">
      <w:pPr>
        <w:pStyle w:val="GvdeMetni"/>
        <w:spacing w:before="161" w:line="360" w:lineRule="auto"/>
        <w:ind w:left="113" w:right="516" w:firstLine="709"/>
        <w:jc w:val="both"/>
        <w:rPr>
          <w:b/>
          <w:bCs/>
          <w:lang w:val="tr-TR"/>
        </w:rPr>
      </w:pPr>
      <w:r w:rsidRPr="002D6EC7">
        <w:rPr>
          <w:b/>
          <w:bCs/>
          <w:lang w:val="tr-TR"/>
        </w:rPr>
        <w:t>DİL BELGESİ GEÇERLİLİK SÜRELERİ</w:t>
      </w:r>
    </w:p>
    <w:p w:rsidR="00E57BC5" w:rsidRDefault="007A1F7B" w:rsidP="00511D8E">
      <w:pPr>
        <w:pStyle w:val="GvdeMetni"/>
        <w:spacing w:before="161" w:line="360" w:lineRule="auto"/>
        <w:ind w:left="113" w:right="516" w:firstLine="709"/>
        <w:jc w:val="both"/>
        <w:rPr>
          <w:lang w:val="tr-TR"/>
        </w:rPr>
      </w:pPr>
      <w:r>
        <w:rPr>
          <w:lang w:val="tr-TR"/>
        </w:rPr>
        <w:t xml:space="preserve">13 Mart 2018 tarihi itibariyle </w:t>
      </w:r>
      <w:r w:rsidR="00B704BD" w:rsidRPr="00B704BD">
        <w:rPr>
          <w:lang w:val="tr-TR"/>
        </w:rPr>
        <w:t xml:space="preserve">Süleyman Demirel Üniversitesi Yabancı Diller Yüksekokulu </w:t>
      </w:r>
      <w:r>
        <w:rPr>
          <w:lang w:val="tr-TR"/>
        </w:rPr>
        <w:t>tarafında yapılacak</w:t>
      </w:r>
      <w:r w:rsidR="00B704BD">
        <w:rPr>
          <w:lang w:val="tr-TR"/>
        </w:rPr>
        <w:t xml:space="preserve"> dil sınavının uluslararası değişim hareketliliği başvurularında (Erasmus+, Mevlana, AISEC, IAESTE vb.) geçerlilik süresi 2 yıldır. ÖSYM ve YÖK tarafından yapılan yabancı dil sınavlarının geçerlilik süresi 5 yıldır. </w:t>
      </w:r>
      <w:r w:rsidR="002D6EC7" w:rsidRPr="00B704BD">
        <w:rPr>
          <w:lang w:val="tr-TR"/>
        </w:rPr>
        <w:t>ÖSYM tarafından</w:t>
      </w:r>
      <w:r w:rsidR="002D6EC7" w:rsidRPr="00B704BD">
        <w:rPr>
          <w:spacing w:val="-6"/>
          <w:lang w:val="tr-TR"/>
        </w:rPr>
        <w:t xml:space="preserve"> </w:t>
      </w:r>
      <w:r w:rsidR="002D6EC7" w:rsidRPr="00B704BD">
        <w:rPr>
          <w:lang w:val="tr-TR"/>
        </w:rPr>
        <w:t>eşdeğerliği</w:t>
      </w:r>
      <w:r w:rsidR="002D6EC7" w:rsidRPr="00B704BD">
        <w:rPr>
          <w:spacing w:val="-6"/>
          <w:lang w:val="tr-TR"/>
        </w:rPr>
        <w:t xml:space="preserve"> </w:t>
      </w:r>
      <w:r w:rsidR="002D6EC7" w:rsidRPr="00B704BD">
        <w:rPr>
          <w:lang w:val="tr-TR"/>
        </w:rPr>
        <w:t>kabul</w:t>
      </w:r>
      <w:r w:rsidR="002D6EC7" w:rsidRPr="00B704BD">
        <w:rPr>
          <w:spacing w:val="-7"/>
          <w:lang w:val="tr-TR"/>
        </w:rPr>
        <w:t xml:space="preserve"> </w:t>
      </w:r>
      <w:r w:rsidR="002D6EC7" w:rsidRPr="00B704BD">
        <w:rPr>
          <w:lang w:val="tr-TR"/>
        </w:rPr>
        <w:t>edilmiş</w:t>
      </w:r>
      <w:r w:rsidR="002D6EC7" w:rsidRPr="00B704BD">
        <w:rPr>
          <w:spacing w:val="-8"/>
          <w:lang w:val="tr-TR"/>
        </w:rPr>
        <w:t xml:space="preserve"> </w:t>
      </w:r>
      <w:r w:rsidR="002D6EC7" w:rsidRPr="00B704BD">
        <w:rPr>
          <w:lang w:val="tr-TR"/>
        </w:rPr>
        <w:t>sınavlar</w:t>
      </w:r>
      <w:r w:rsidR="002D6EC7">
        <w:rPr>
          <w:lang w:val="tr-TR"/>
        </w:rPr>
        <w:t xml:space="preserve"> u</w:t>
      </w:r>
      <w:r w:rsidR="00B704BD">
        <w:rPr>
          <w:lang w:val="tr-TR"/>
        </w:rPr>
        <w:t>luslararası</w:t>
      </w:r>
      <w:r w:rsidR="002D6EC7">
        <w:rPr>
          <w:lang w:val="tr-TR"/>
        </w:rPr>
        <w:t xml:space="preserve"> sınavların geçerlilik süresi sonuç belgesinde yazdığı şekilde kabul edilir.</w:t>
      </w:r>
    </w:p>
    <w:p w:rsidR="00511D8E" w:rsidRPr="00511D8E" w:rsidRDefault="00511D8E" w:rsidP="00511D8E">
      <w:pPr>
        <w:pStyle w:val="GvdeMetni"/>
        <w:spacing w:before="161" w:line="360" w:lineRule="auto"/>
        <w:ind w:left="113" w:right="516" w:firstLine="709"/>
        <w:jc w:val="both"/>
        <w:rPr>
          <w:lang w:val="tr-TR"/>
        </w:rPr>
      </w:pPr>
    </w:p>
    <w:p w:rsidR="00E57BC5" w:rsidRDefault="00C258C8" w:rsidP="00535E2C">
      <w:pPr>
        <w:pStyle w:val="Balk1"/>
        <w:spacing w:line="360" w:lineRule="auto"/>
        <w:rPr>
          <w:lang w:val="tr-TR"/>
        </w:rPr>
      </w:pPr>
      <w:r w:rsidRPr="00B704BD">
        <w:rPr>
          <w:lang w:val="tr-TR"/>
        </w:rPr>
        <w:t>Değerlendirme Ölçütleri ve Ağırlıklı Puanlar Şu Şekildedir:</w:t>
      </w:r>
    </w:p>
    <w:p w:rsidR="005B3BB3" w:rsidRDefault="005B3BB3" w:rsidP="00535E2C">
      <w:pPr>
        <w:pStyle w:val="Balk1"/>
        <w:spacing w:line="360" w:lineRule="auto"/>
        <w:rPr>
          <w:lang w:val="tr-TR"/>
        </w:rPr>
      </w:pPr>
    </w:p>
    <w:tbl>
      <w:tblPr>
        <w:tblStyle w:val="TabloKlavuzu"/>
        <w:tblW w:w="0" w:type="auto"/>
        <w:tblInd w:w="116" w:type="dxa"/>
        <w:tblLayout w:type="fixed"/>
        <w:tblLook w:val="04A0" w:firstRow="1" w:lastRow="0" w:firstColumn="1" w:lastColumn="0" w:noHBand="0" w:noVBand="1"/>
      </w:tblPr>
      <w:tblGrid>
        <w:gridCol w:w="5549"/>
        <w:gridCol w:w="4035"/>
      </w:tblGrid>
      <w:tr w:rsidR="005B3BB3" w:rsidTr="005B3BB3">
        <w:tc>
          <w:tcPr>
            <w:tcW w:w="5549" w:type="dxa"/>
          </w:tcPr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b/>
                <w:bCs/>
                <w:color w:val="000000"/>
                <w:sz w:val="24"/>
                <w:szCs w:val="24"/>
                <w:lang w:val="tr-TR" w:bidi="ar-SA"/>
              </w:rPr>
              <w:t>Ölçüt</w:t>
            </w:r>
          </w:p>
        </w:tc>
        <w:tc>
          <w:tcPr>
            <w:tcW w:w="4035" w:type="dxa"/>
          </w:tcPr>
          <w:p w:rsid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b/>
                <w:bCs/>
                <w:color w:val="000000"/>
                <w:sz w:val="24"/>
                <w:szCs w:val="24"/>
                <w:lang w:val="tr-TR" w:bidi="ar-SA"/>
              </w:rPr>
              <w:t>Ağırlıklı Puan</w:t>
            </w:r>
          </w:p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</w:p>
        </w:tc>
      </w:tr>
      <w:tr w:rsidR="005B3BB3" w:rsidTr="005B3BB3">
        <w:tc>
          <w:tcPr>
            <w:tcW w:w="5549" w:type="dxa"/>
          </w:tcPr>
          <w:p w:rsidR="005B3BB3" w:rsidRPr="005B3BB3" w:rsidRDefault="005B3BB3" w:rsidP="005B3BB3">
            <w:pPr>
              <w:jc w:val="both"/>
              <w:rPr>
                <w:sz w:val="24"/>
                <w:szCs w:val="24"/>
              </w:rPr>
            </w:pPr>
            <w:r w:rsidRPr="005B3BB3">
              <w:rPr>
                <w:sz w:val="24"/>
                <w:szCs w:val="24"/>
              </w:rPr>
              <w:t>Akademik başarı düzeyi</w:t>
            </w:r>
          </w:p>
        </w:tc>
        <w:tc>
          <w:tcPr>
            <w:tcW w:w="4035" w:type="dxa"/>
          </w:tcPr>
          <w:p w:rsid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  <w:t>%50 (toplam 100 puan üzerinden)</w:t>
            </w:r>
          </w:p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</w:p>
        </w:tc>
      </w:tr>
      <w:tr w:rsidR="005B3BB3" w:rsidTr="005B3BB3">
        <w:tc>
          <w:tcPr>
            <w:tcW w:w="5549" w:type="dxa"/>
          </w:tcPr>
          <w:p w:rsidR="005B3BB3" w:rsidRPr="005B3BB3" w:rsidRDefault="005B3BB3" w:rsidP="005B3BB3">
            <w:pPr>
              <w:jc w:val="both"/>
              <w:rPr>
                <w:sz w:val="24"/>
                <w:szCs w:val="24"/>
              </w:rPr>
            </w:pPr>
            <w:r w:rsidRPr="005B3BB3">
              <w:rPr>
                <w:sz w:val="24"/>
                <w:szCs w:val="24"/>
              </w:rPr>
              <w:t>Dil seviyesi</w:t>
            </w:r>
          </w:p>
        </w:tc>
        <w:tc>
          <w:tcPr>
            <w:tcW w:w="4035" w:type="dxa"/>
          </w:tcPr>
          <w:p w:rsid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  <w:t>%50 (toplam 100 puan üzerinden)</w:t>
            </w:r>
          </w:p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</w:p>
        </w:tc>
      </w:tr>
      <w:tr w:rsidR="005B3BB3" w:rsidTr="005B3BB3">
        <w:tc>
          <w:tcPr>
            <w:tcW w:w="5549" w:type="dxa"/>
          </w:tcPr>
          <w:p w:rsidR="005B3BB3" w:rsidRPr="005B3BB3" w:rsidRDefault="005B3BB3" w:rsidP="005B3BB3">
            <w:pPr>
              <w:jc w:val="both"/>
              <w:rPr>
                <w:sz w:val="24"/>
                <w:szCs w:val="24"/>
              </w:rPr>
            </w:pPr>
            <w:r w:rsidRPr="005B3BB3">
              <w:rPr>
                <w:sz w:val="24"/>
                <w:szCs w:val="24"/>
              </w:rPr>
              <w:t>Şehit ve gazi çocuklarına</w:t>
            </w:r>
          </w:p>
        </w:tc>
        <w:tc>
          <w:tcPr>
            <w:tcW w:w="4035" w:type="dxa"/>
          </w:tcPr>
          <w:p w:rsid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  <w:t>+15 puan</w:t>
            </w:r>
          </w:p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</w:p>
        </w:tc>
      </w:tr>
      <w:tr w:rsidR="005B3BB3" w:rsidTr="005B3BB3">
        <w:tc>
          <w:tcPr>
            <w:tcW w:w="5549" w:type="dxa"/>
          </w:tcPr>
          <w:p w:rsidR="005B3BB3" w:rsidRPr="005B3BB3" w:rsidRDefault="005B3BB3" w:rsidP="005B3BB3">
            <w:pPr>
              <w:jc w:val="both"/>
              <w:rPr>
                <w:sz w:val="24"/>
                <w:szCs w:val="24"/>
              </w:rPr>
            </w:pPr>
            <w:r w:rsidRPr="005B3BB3">
              <w:rPr>
                <w:sz w:val="24"/>
                <w:szCs w:val="24"/>
              </w:rPr>
              <w:t>Engelli öğrencilere (engelliliğin belgelenmesi kaydıyla)</w:t>
            </w:r>
          </w:p>
        </w:tc>
        <w:tc>
          <w:tcPr>
            <w:tcW w:w="4035" w:type="dxa"/>
          </w:tcPr>
          <w:p w:rsid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  <w:t>+10 puan</w:t>
            </w:r>
          </w:p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</w:p>
        </w:tc>
      </w:tr>
      <w:tr w:rsidR="005B3BB3" w:rsidTr="005B3BB3">
        <w:tc>
          <w:tcPr>
            <w:tcW w:w="5549" w:type="dxa"/>
          </w:tcPr>
          <w:p w:rsidR="005B3BB3" w:rsidRPr="005B3BB3" w:rsidRDefault="005B3BB3" w:rsidP="005B3BB3">
            <w:pPr>
              <w:jc w:val="both"/>
              <w:rPr>
                <w:sz w:val="24"/>
                <w:szCs w:val="24"/>
              </w:rPr>
            </w:pPr>
            <w:r w:rsidRPr="005B3BB3">
              <w:rPr>
                <w:sz w:val="24"/>
                <w:szCs w:val="24"/>
              </w:rPr>
              <w:t>Daha önce yararlanma (hibeli veya hibesiz)</w:t>
            </w:r>
          </w:p>
        </w:tc>
        <w:tc>
          <w:tcPr>
            <w:tcW w:w="4035" w:type="dxa"/>
          </w:tcPr>
          <w:p w:rsid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  <w:t>-10 puan</w:t>
            </w:r>
          </w:p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</w:p>
        </w:tc>
      </w:tr>
      <w:tr w:rsidR="005B3BB3" w:rsidTr="005B3BB3">
        <w:tc>
          <w:tcPr>
            <w:tcW w:w="5549" w:type="dxa"/>
          </w:tcPr>
          <w:p w:rsidR="005B3BB3" w:rsidRPr="005B3BB3" w:rsidRDefault="005B3BB3" w:rsidP="005B3BB3">
            <w:pPr>
              <w:jc w:val="both"/>
              <w:rPr>
                <w:sz w:val="24"/>
                <w:szCs w:val="24"/>
              </w:rPr>
            </w:pPr>
            <w:r w:rsidRPr="005B3BB3">
              <w:rPr>
                <w:sz w:val="24"/>
                <w:szCs w:val="24"/>
              </w:rPr>
              <w:t>Vatandaşı olunan ülkede hareketliliğe katılma</w:t>
            </w:r>
          </w:p>
        </w:tc>
        <w:tc>
          <w:tcPr>
            <w:tcW w:w="4035" w:type="dxa"/>
          </w:tcPr>
          <w:p w:rsid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</w:pPr>
            <w:r w:rsidRPr="005B3BB3">
              <w:rPr>
                <w:rFonts w:eastAsiaTheme="minorHAnsi"/>
                <w:i/>
                <w:iCs/>
                <w:color w:val="000000"/>
                <w:sz w:val="24"/>
                <w:szCs w:val="24"/>
                <w:lang w:val="tr-TR" w:bidi="ar-SA"/>
              </w:rPr>
              <w:t>-10 puan</w:t>
            </w:r>
          </w:p>
          <w:p w:rsidR="005B3BB3" w:rsidRPr="005B3BB3" w:rsidRDefault="005B3BB3" w:rsidP="005B3BB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tr-TR" w:bidi="ar-SA"/>
              </w:rPr>
            </w:pPr>
          </w:p>
        </w:tc>
      </w:tr>
    </w:tbl>
    <w:p w:rsidR="005B3BB3" w:rsidRDefault="005B3BB3" w:rsidP="00535E2C">
      <w:pPr>
        <w:pStyle w:val="Balk1"/>
        <w:spacing w:line="360" w:lineRule="auto"/>
        <w:rPr>
          <w:lang w:val="tr-TR"/>
        </w:rPr>
      </w:pPr>
    </w:p>
    <w:p w:rsidR="005B3BB3" w:rsidRPr="009D721A" w:rsidRDefault="00DB2BF0" w:rsidP="009D721A">
      <w:pPr>
        <w:pStyle w:val="Balk1"/>
        <w:spacing w:line="360" w:lineRule="auto"/>
        <w:ind w:firstLine="604"/>
        <w:jc w:val="both"/>
        <w:rPr>
          <w:b w:val="0"/>
          <w:bCs w:val="0"/>
          <w:lang w:val="tr-TR"/>
        </w:rPr>
      </w:pPr>
      <w:r w:rsidRPr="009D721A">
        <w:rPr>
          <w:b w:val="0"/>
          <w:bCs w:val="0"/>
          <w:lang w:val="tr-TR"/>
        </w:rPr>
        <w:t>Ayrıca, s</w:t>
      </w:r>
      <w:r w:rsidR="005B3BB3" w:rsidRPr="009D721A">
        <w:rPr>
          <w:b w:val="0"/>
          <w:bCs w:val="0"/>
          <w:lang w:val="tr-TR"/>
        </w:rPr>
        <w:t>eçildiği halde Erasmus</w:t>
      </w:r>
      <w:r w:rsidRPr="009D721A">
        <w:rPr>
          <w:b w:val="0"/>
          <w:bCs w:val="0"/>
          <w:lang w:val="tr-TR"/>
        </w:rPr>
        <w:t xml:space="preserve">+ </w:t>
      </w:r>
      <w:r w:rsidR="005B3BB3" w:rsidRPr="009D721A">
        <w:rPr>
          <w:b w:val="0"/>
          <w:bCs w:val="0"/>
          <w:lang w:val="tr-TR"/>
        </w:rPr>
        <w:t xml:space="preserve"> hareketliliğine katılmaktan vazgeçen öğrenciler için </w:t>
      </w:r>
      <w:r w:rsidRPr="009D721A">
        <w:rPr>
          <w:b w:val="0"/>
          <w:bCs w:val="0"/>
          <w:lang w:val="tr-TR"/>
        </w:rPr>
        <w:t>“</w:t>
      </w:r>
      <w:r w:rsidR="005B3BB3" w:rsidRPr="009D721A">
        <w:rPr>
          <w:b w:val="0"/>
          <w:bCs w:val="0"/>
          <w:lang w:val="tr-TR"/>
        </w:rPr>
        <w:t>feragat</w:t>
      </w:r>
      <w:r w:rsidRPr="009D721A">
        <w:rPr>
          <w:b w:val="0"/>
          <w:bCs w:val="0"/>
          <w:lang w:val="tr-TR"/>
        </w:rPr>
        <w:t xml:space="preserve"> </w:t>
      </w:r>
      <w:r w:rsidR="005B3BB3" w:rsidRPr="009D721A">
        <w:rPr>
          <w:b w:val="0"/>
          <w:bCs w:val="0"/>
          <w:lang w:val="tr-TR"/>
        </w:rPr>
        <w:t>bildirim süresi</w:t>
      </w:r>
      <w:r w:rsidRPr="009D721A">
        <w:rPr>
          <w:b w:val="0"/>
          <w:bCs w:val="0"/>
          <w:lang w:val="tr-TR"/>
        </w:rPr>
        <w:t xml:space="preserve">” </w:t>
      </w:r>
      <w:r w:rsidRPr="009D721A">
        <w:rPr>
          <w:u w:val="single"/>
          <w:lang w:val="tr-TR"/>
        </w:rPr>
        <w:t>27 Nisan 2018 tarihine kadar</w:t>
      </w:r>
      <w:r w:rsidRPr="009D721A">
        <w:rPr>
          <w:b w:val="0"/>
          <w:bCs w:val="0"/>
          <w:lang w:val="tr-TR"/>
        </w:rPr>
        <w:t xml:space="preserve"> olup,</w:t>
      </w:r>
      <w:r w:rsidR="005B3BB3" w:rsidRPr="009D721A">
        <w:rPr>
          <w:b w:val="0"/>
          <w:bCs w:val="0"/>
          <w:lang w:val="tr-TR"/>
        </w:rPr>
        <w:t xml:space="preserve"> bu süre dâhilinde feragat bildiriminde bulunulmaması</w:t>
      </w:r>
      <w:r w:rsidRPr="009D721A">
        <w:rPr>
          <w:b w:val="0"/>
          <w:bCs w:val="0"/>
          <w:lang w:val="tr-TR"/>
        </w:rPr>
        <w:t xml:space="preserve"> </w:t>
      </w:r>
      <w:r w:rsidR="005B3BB3" w:rsidRPr="009D721A">
        <w:rPr>
          <w:b w:val="0"/>
          <w:bCs w:val="0"/>
          <w:lang w:val="tr-TR"/>
        </w:rPr>
        <w:t>halinde, öğrencinin daha sonraki Erasmus</w:t>
      </w:r>
      <w:r w:rsidRPr="009D721A">
        <w:rPr>
          <w:b w:val="0"/>
          <w:bCs w:val="0"/>
          <w:lang w:val="tr-TR"/>
        </w:rPr>
        <w:t>+</w:t>
      </w:r>
      <w:r w:rsidR="005B3BB3" w:rsidRPr="009D721A">
        <w:rPr>
          <w:b w:val="0"/>
          <w:bCs w:val="0"/>
          <w:lang w:val="tr-TR"/>
        </w:rPr>
        <w:t xml:space="preserve"> hareketliliği başvurusunda “-10</w:t>
      </w:r>
      <w:r w:rsidRPr="009D721A">
        <w:rPr>
          <w:b w:val="0"/>
          <w:bCs w:val="0"/>
          <w:lang w:val="tr-TR"/>
        </w:rPr>
        <w:t xml:space="preserve"> puan” düşürülecektir.</w:t>
      </w:r>
      <w:r w:rsidR="009D721A">
        <w:rPr>
          <w:b w:val="0"/>
          <w:bCs w:val="0"/>
          <w:lang w:val="tr-TR"/>
        </w:rPr>
        <w:t xml:space="preserve"> Feragat dilekçesi örneğine </w:t>
      </w:r>
      <w:hyperlink r:id="rId8" w:history="1">
        <w:r w:rsidR="009D721A" w:rsidRPr="00706180">
          <w:rPr>
            <w:rStyle w:val="Kpr"/>
            <w:b w:val="0"/>
            <w:bCs w:val="0"/>
            <w:lang w:val="tr-TR"/>
          </w:rPr>
          <w:t>http://erasmus.sdu.edu.tr/tr/dokumanlar</w:t>
        </w:r>
      </w:hyperlink>
      <w:r w:rsidR="009D721A">
        <w:rPr>
          <w:b w:val="0"/>
          <w:bCs w:val="0"/>
          <w:lang w:val="tr-TR"/>
        </w:rPr>
        <w:t xml:space="preserve"> linkinden ulaşabilirsiniz. </w:t>
      </w:r>
      <w:r w:rsidRPr="009D721A">
        <w:rPr>
          <w:b w:val="0"/>
          <w:bCs w:val="0"/>
          <w:lang w:val="tr-TR"/>
        </w:rPr>
        <w:t xml:space="preserve"> </w:t>
      </w:r>
    </w:p>
    <w:p w:rsidR="005B3BB3" w:rsidRPr="009D721A" w:rsidRDefault="005B3BB3" w:rsidP="009D721A">
      <w:pPr>
        <w:pStyle w:val="Balk1"/>
        <w:spacing w:line="360" w:lineRule="auto"/>
        <w:jc w:val="both"/>
        <w:rPr>
          <w:b w:val="0"/>
          <w:bCs w:val="0"/>
          <w:lang w:val="tr-TR"/>
        </w:rPr>
      </w:pPr>
    </w:p>
    <w:p w:rsidR="00E57BC5" w:rsidRPr="00B704BD" w:rsidRDefault="00E57BC5" w:rsidP="00535E2C">
      <w:pPr>
        <w:pStyle w:val="GvdeMetni"/>
        <w:spacing w:line="360" w:lineRule="auto"/>
        <w:ind w:left="0"/>
        <w:rPr>
          <w:sz w:val="26"/>
          <w:lang w:val="tr-TR"/>
        </w:rPr>
      </w:pPr>
    </w:p>
    <w:p w:rsidR="00E57BC5" w:rsidRPr="00B704BD" w:rsidRDefault="00C258C8" w:rsidP="00535E2C">
      <w:pPr>
        <w:pStyle w:val="Balk1"/>
        <w:spacing w:before="162" w:line="360" w:lineRule="auto"/>
        <w:rPr>
          <w:lang w:val="tr-TR"/>
        </w:rPr>
      </w:pPr>
      <w:r w:rsidRPr="00B704BD">
        <w:rPr>
          <w:lang w:val="tr-TR"/>
        </w:rPr>
        <w:t>Erasmus+ Öğrenim Hareketliliği başvurularınızı;</w:t>
      </w:r>
    </w:p>
    <w:p w:rsidR="00E57BC5" w:rsidRPr="00B704BD" w:rsidRDefault="00A77E98" w:rsidP="00535E2C">
      <w:pPr>
        <w:pStyle w:val="GvdeMetni"/>
        <w:numPr>
          <w:ilvl w:val="0"/>
          <w:numId w:val="1"/>
        </w:numPr>
        <w:spacing w:before="181" w:line="360" w:lineRule="auto"/>
        <w:ind w:left="0" w:firstLine="0"/>
        <w:rPr>
          <w:lang w:val="tr-TR"/>
        </w:rPr>
      </w:pPr>
      <w:hyperlink r:id="rId9">
        <w:r w:rsidR="00C258C8" w:rsidRPr="00B704BD">
          <w:rPr>
            <w:color w:val="0462C1"/>
            <w:u w:val="single" w:color="0462C1"/>
            <w:lang w:val="tr-TR"/>
          </w:rPr>
          <w:t>http://193.140.181.179/Account/Login.aspx?pId=2035&amp;ReturnUrl=%2F</w:t>
        </w:r>
        <w:r w:rsidR="00C258C8" w:rsidRPr="00B704BD">
          <w:rPr>
            <w:color w:val="0462C1"/>
            <w:lang w:val="tr-TR"/>
          </w:rPr>
          <w:t xml:space="preserve"> </w:t>
        </w:r>
      </w:hyperlink>
      <w:r w:rsidR="00C258C8" w:rsidRPr="00B704BD">
        <w:rPr>
          <w:lang w:val="tr-TR"/>
        </w:rPr>
        <w:t>adresinden yapabilirsiniz</w:t>
      </w:r>
    </w:p>
    <w:p w:rsidR="00535E2C" w:rsidRPr="00B704BD" w:rsidRDefault="00535E2C" w:rsidP="00535E2C">
      <w:pPr>
        <w:pStyle w:val="GvdeMetni"/>
        <w:spacing w:before="21" w:line="360" w:lineRule="auto"/>
        <w:ind w:left="0"/>
        <w:rPr>
          <w:lang w:val="tr-TR"/>
        </w:rPr>
      </w:pPr>
    </w:p>
    <w:p w:rsidR="00535E2C" w:rsidRPr="00B704BD" w:rsidRDefault="00535E2C" w:rsidP="00980F08">
      <w:pPr>
        <w:pStyle w:val="GvdeMetni"/>
        <w:tabs>
          <w:tab w:val="left" w:pos="627"/>
          <w:tab w:val="left" w:pos="2019"/>
          <w:tab w:val="left" w:pos="3331"/>
          <w:tab w:val="left" w:pos="4017"/>
          <w:tab w:val="left" w:pos="5154"/>
          <w:tab w:val="left" w:pos="5600"/>
          <w:tab w:val="left" w:pos="6684"/>
          <w:tab w:val="left" w:pos="8144"/>
        </w:tabs>
        <w:spacing w:before="76" w:line="360" w:lineRule="auto"/>
        <w:ind w:right="519" w:firstLine="120"/>
        <w:rPr>
          <w:lang w:val="tr-TR"/>
        </w:rPr>
      </w:pPr>
      <w:r w:rsidRPr="00B704BD">
        <w:rPr>
          <w:lang w:val="tr-TR"/>
        </w:rPr>
        <w:t>-</w:t>
      </w:r>
      <w:r w:rsidRPr="00B704BD">
        <w:rPr>
          <w:lang w:val="tr-TR"/>
        </w:rPr>
        <w:tab/>
        <w:t>2018–2019</w:t>
      </w:r>
      <w:r w:rsidRPr="00B704BD">
        <w:rPr>
          <w:lang w:val="tr-TR"/>
        </w:rPr>
        <w:tab/>
        <w:t>Akademik</w:t>
      </w:r>
      <w:r w:rsidRPr="00B704BD">
        <w:rPr>
          <w:lang w:val="tr-TR"/>
        </w:rPr>
        <w:tab/>
        <w:t>Yılı</w:t>
      </w:r>
      <w:r w:rsidRPr="00B704BD">
        <w:rPr>
          <w:lang w:val="tr-TR"/>
        </w:rPr>
        <w:tab/>
        <w:t>Erasmus</w:t>
      </w:r>
      <w:r w:rsidRPr="00B704BD">
        <w:rPr>
          <w:lang w:val="tr-TR"/>
        </w:rPr>
        <w:tab/>
        <w:t>+</w:t>
      </w:r>
      <w:r w:rsidRPr="00B704BD">
        <w:rPr>
          <w:lang w:val="tr-TR"/>
        </w:rPr>
        <w:tab/>
        <w:t>Öğrenci</w:t>
      </w:r>
      <w:r w:rsidRPr="00B704BD">
        <w:rPr>
          <w:lang w:val="tr-TR"/>
        </w:rPr>
        <w:tab/>
        <w:t>Hareketlilik</w:t>
      </w:r>
      <w:r w:rsidRPr="00B704BD">
        <w:rPr>
          <w:lang w:val="tr-TR"/>
        </w:rPr>
        <w:tab/>
        <w:t>Takvimine</w:t>
      </w:r>
      <w:r w:rsidRPr="00B704BD">
        <w:rPr>
          <w:color w:val="0462C1"/>
          <w:u w:val="single" w:color="0462C1"/>
          <w:lang w:val="tr-TR"/>
        </w:rPr>
        <w:t xml:space="preserve"> </w:t>
      </w:r>
      <w:hyperlink r:id="rId10" w:history="1">
        <w:r w:rsidR="00980F08" w:rsidRPr="0029753C">
          <w:rPr>
            <w:rStyle w:val="Kpr"/>
          </w:rPr>
          <w:t>http://erasmus.sdu.edu.tr/assets/uploads/sites/280/files/akademik-takvim-30012018.pdf</w:t>
        </w:r>
      </w:hyperlink>
      <w:r w:rsidR="00980F08">
        <w:t xml:space="preserve"> </w:t>
      </w:r>
      <w:r w:rsidRPr="00B704BD">
        <w:rPr>
          <w:lang w:val="tr-TR"/>
        </w:rPr>
        <w:t>adresinden</w:t>
      </w:r>
      <w:r w:rsidRPr="00B704BD">
        <w:rPr>
          <w:spacing w:val="-1"/>
          <w:lang w:val="tr-TR"/>
        </w:rPr>
        <w:t xml:space="preserve"> </w:t>
      </w:r>
      <w:r w:rsidRPr="00B704BD">
        <w:rPr>
          <w:lang w:val="tr-TR"/>
        </w:rPr>
        <w:t>ulaşabilirsiniz.</w:t>
      </w:r>
    </w:p>
    <w:p w:rsidR="00535E2C" w:rsidRPr="00B704BD" w:rsidRDefault="00535E2C" w:rsidP="00535E2C">
      <w:pPr>
        <w:pStyle w:val="GvdeMetni"/>
        <w:spacing w:line="360" w:lineRule="auto"/>
        <w:ind w:left="0"/>
        <w:rPr>
          <w:sz w:val="20"/>
          <w:lang w:val="tr-TR"/>
        </w:rPr>
      </w:pPr>
      <w:bookmarkStart w:id="0" w:name="_GoBack"/>
      <w:bookmarkEnd w:id="0"/>
    </w:p>
    <w:p w:rsidR="00535E2C" w:rsidRPr="00B704BD" w:rsidRDefault="00535E2C" w:rsidP="00535E2C">
      <w:pPr>
        <w:pStyle w:val="GvdeMetni"/>
        <w:spacing w:line="360" w:lineRule="auto"/>
        <w:ind w:left="0"/>
        <w:rPr>
          <w:sz w:val="26"/>
          <w:lang w:val="tr-TR"/>
        </w:rPr>
      </w:pPr>
    </w:p>
    <w:p w:rsidR="00E57BC5" w:rsidRPr="00B704BD" w:rsidRDefault="00535E2C" w:rsidP="001640EE">
      <w:pPr>
        <w:pStyle w:val="Balk1"/>
        <w:spacing w:before="90" w:line="360" w:lineRule="auto"/>
        <w:rPr>
          <w:lang w:val="tr-TR"/>
        </w:rPr>
      </w:pPr>
      <w:r w:rsidRPr="00B704BD">
        <w:rPr>
          <w:b w:val="0"/>
          <w:spacing w:val="-60"/>
          <w:u w:val="thick"/>
          <w:lang w:val="tr-TR"/>
        </w:rPr>
        <w:t xml:space="preserve"> </w:t>
      </w:r>
      <w:r w:rsidRPr="00B704BD">
        <w:rPr>
          <w:u w:val="thick"/>
          <w:lang w:val="tr-TR"/>
        </w:rPr>
        <w:t>SON BAŞVURU TARİHİ: 0</w:t>
      </w:r>
      <w:r w:rsidR="00ED274C">
        <w:rPr>
          <w:u w:val="thick"/>
          <w:lang w:val="tr-TR"/>
        </w:rPr>
        <w:t>4</w:t>
      </w:r>
      <w:r w:rsidR="00942ECB">
        <w:rPr>
          <w:u w:val="thick"/>
          <w:lang w:val="tr-TR"/>
        </w:rPr>
        <w:t xml:space="preserve"> Mart 2018 ( 23.59</w:t>
      </w:r>
      <w:r w:rsidRPr="00B704BD">
        <w:rPr>
          <w:u w:val="thick"/>
          <w:lang w:val="tr-TR"/>
        </w:rPr>
        <w:t>’</w:t>
      </w:r>
      <w:r w:rsidR="001640EE">
        <w:rPr>
          <w:u w:val="thick"/>
          <w:lang w:val="tr-TR"/>
        </w:rPr>
        <w:t>de sistem başvuruya kapanacak</w:t>
      </w:r>
      <w:r w:rsidR="00175E1A">
        <w:rPr>
          <w:u w:val="thick"/>
          <w:lang w:val="tr-TR"/>
        </w:rPr>
        <w:t>tır)</w:t>
      </w:r>
      <w:r w:rsidR="001640EE">
        <w:rPr>
          <w:u w:val="thick"/>
          <w:lang w:val="tr-TR"/>
        </w:rPr>
        <w:t>.</w:t>
      </w:r>
    </w:p>
    <w:sectPr w:rsidR="00E57BC5" w:rsidRPr="00B704BD">
      <w:pgSz w:w="11910" w:h="16840"/>
      <w:pgMar w:top="1320" w:right="9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98" w:rsidRDefault="00A77E98" w:rsidP="001640EE">
      <w:r>
        <w:separator/>
      </w:r>
    </w:p>
  </w:endnote>
  <w:endnote w:type="continuationSeparator" w:id="0">
    <w:p w:rsidR="00A77E98" w:rsidRDefault="00A77E98" w:rsidP="0016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98" w:rsidRDefault="00A77E98" w:rsidP="001640EE">
      <w:r>
        <w:separator/>
      </w:r>
    </w:p>
  </w:footnote>
  <w:footnote w:type="continuationSeparator" w:id="0">
    <w:p w:rsidR="00A77E98" w:rsidRDefault="00A77E98" w:rsidP="0016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6E7"/>
    <w:multiLevelType w:val="hybridMultilevel"/>
    <w:tmpl w:val="47EC9EC0"/>
    <w:lvl w:ilvl="0" w:tplc="579EDB58">
      <w:start w:val="2018"/>
      <w:numFmt w:val="bullet"/>
      <w:lvlText w:val="-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5"/>
    <w:rsid w:val="001640EE"/>
    <w:rsid w:val="00175E1A"/>
    <w:rsid w:val="002A49A9"/>
    <w:rsid w:val="002D6EC7"/>
    <w:rsid w:val="00511D8E"/>
    <w:rsid w:val="00535E2C"/>
    <w:rsid w:val="005B3BB3"/>
    <w:rsid w:val="006F5EBE"/>
    <w:rsid w:val="007A1F7B"/>
    <w:rsid w:val="007C27FB"/>
    <w:rsid w:val="00871071"/>
    <w:rsid w:val="00942ECB"/>
    <w:rsid w:val="00980F08"/>
    <w:rsid w:val="009D721A"/>
    <w:rsid w:val="00A37557"/>
    <w:rsid w:val="00A77E98"/>
    <w:rsid w:val="00AA790A"/>
    <w:rsid w:val="00B704BD"/>
    <w:rsid w:val="00C258C8"/>
    <w:rsid w:val="00CC67A8"/>
    <w:rsid w:val="00D26C22"/>
    <w:rsid w:val="00DB2BF0"/>
    <w:rsid w:val="00DC42D1"/>
    <w:rsid w:val="00DE0C35"/>
    <w:rsid w:val="00E57BC5"/>
    <w:rsid w:val="00EA18B2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C4EEF-2564-4B67-8B89-1C4BC4D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E0C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5B3BB3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5B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40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40EE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1640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40E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sdu.edu.tr/tr/dokuman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.sdu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rasmus.sdu.edu.tr/assets/uploads/sites/280/files/akademik-takvim-3001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3.140.181.179/Account/Login.aspx?pId=2035&amp;amp;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2018-01-30T07:11:00Z</dcterms:created>
  <dcterms:modified xsi:type="dcterms:W3CDTF">2018-02-05T08:36:00Z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2018-01-29T00:00:00Z</vt:filetime>
  </property>
</Properties>
</file>